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670DC" w14:textId="77777777" w:rsidR="00EF5FBE" w:rsidRPr="003D452E" w:rsidRDefault="00FA19A7" w:rsidP="00304FE5">
      <w:pPr>
        <w:jc w:val="center"/>
        <w:rPr>
          <w:rFonts w:ascii="Trebuchet MS" w:hAnsi="Trebuchet MS"/>
          <w:b/>
          <w:sz w:val="32"/>
          <w:szCs w:val="32"/>
        </w:rPr>
      </w:pPr>
      <w:bookmarkStart w:id="0" w:name="_Hlk115871427"/>
      <w:r w:rsidRPr="003D452E">
        <w:rPr>
          <w:rFonts w:ascii="Trebuchet MS" w:hAnsi="Trebuchet MS"/>
          <w:b/>
          <w:sz w:val="32"/>
          <w:szCs w:val="32"/>
        </w:rPr>
        <w:t xml:space="preserve">Μελέτη των απόψεων εκπαιδευτικών </w:t>
      </w:r>
      <w:r w:rsidR="00EF5FBE" w:rsidRPr="003D452E">
        <w:rPr>
          <w:rFonts w:ascii="Trebuchet MS" w:hAnsi="Trebuchet MS"/>
          <w:b/>
          <w:sz w:val="32"/>
          <w:szCs w:val="32"/>
        </w:rPr>
        <w:t>για το</w:t>
      </w:r>
      <w:r w:rsidR="008A2D1E" w:rsidRPr="003D452E">
        <w:rPr>
          <w:rFonts w:ascii="Trebuchet MS" w:hAnsi="Trebuchet MS"/>
          <w:b/>
          <w:sz w:val="32"/>
          <w:szCs w:val="32"/>
        </w:rPr>
        <w:t xml:space="preserve"> ψηφιακό εκπαιδευτικό υλικό σε</w:t>
      </w:r>
      <w:r w:rsidR="00EF5FBE" w:rsidRPr="003D452E">
        <w:rPr>
          <w:rFonts w:ascii="Trebuchet MS" w:hAnsi="Trebuchet MS"/>
          <w:b/>
          <w:sz w:val="32"/>
          <w:szCs w:val="32"/>
        </w:rPr>
        <w:t xml:space="preserve"> </w:t>
      </w:r>
      <w:r w:rsidR="008A2D1E" w:rsidRPr="003D452E">
        <w:rPr>
          <w:rFonts w:ascii="Trebuchet MS" w:hAnsi="Trebuchet MS"/>
          <w:b/>
          <w:sz w:val="32"/>
          <w:szCs w:val="32"/>
        </w:rPr>
        <w:t>προγράμματα</w:t>
      </w:r>
      <w:r w:rsidR="00EF5FBE" w:rsidRPr="003D452E">
        <w:rPr>
          <w:rFonts w:ascii="Trebuchet MS" w:hAnsi="Trebuchet MS"/>
          <w:b/>
          <w:sz w:val="32"/>
          <w:szCs w:val="32"/>
        </w:rPr>
        <w:t xml:space="preserve"> ηλεκτρονικής μάθησης από απόσταση</w:t>
      </w:r>
      <w:bookmarkEnd w:id="0"/>
      <w:r w:rsidR="00EF5FBE" w:rsidRPr="003D452E">
        <w:rPr>
          <w:rFonts w:ascii="Trebuchet MS" w:hAnsi="Trebuchet MS"/>
          <w:b/>
          <w:sz w:val="32"/>
          <w:szCs w:val="32"/>
        </w:rPr>
        <w:t xml:space="preserve"> </w:t>
      </w:r>
    </w:p>
    <w:p w14:paraId="6F20A742" w14:textId="77777777" w:rsidR="00FA19A7" w:rsidRPr="00FD6B74" w:rsidRDefault="00AB6826" w:rsidP="000543CA">
      <w:pPr>
        <w:spacing w:before="480"/>
        <w:jc w:val="center"/>
        <w:rPr>
          <w:rFonts w:ascii="Cambria" w:hAnsi="Cambria"/>
          <w:b/>
        </w:rPr>
      </w:pPr>
      <w:bookmarkStart w:id="1" w:name="_Hlk115871463"/>
      <w:r w:rsidRPr="00FD6B74">
        <w:rPr>
          <w:rFonts w:ascii="Cambria" w:hAnsi="Cambria"/>
          <w:b/>
        </w:rPr>
        <w:t>Γ</w:t>
      </w:r>
      <w:r w:rsidR="00FA19A7" w:rsidRPr="00FD6B74">
        <w:rPr>
          <w:rFonts w:ascii="Cambria" w:hAnsi="Cambria"/>
          <w:b/>
        </w:rPr>
        <w:t xml:space="preserve">. </w:t>
      </w:r>
      <w:r w:rsidRPr="00FD6B74">
        <w:rPr>
          <w:rFonts w:ascii="Cambria" w:hAnsi="Cambria"/>
          <w:b/>
        </w:rPr>
        <w:t>Κουτρομάνος</w:t>
      </w:r>
      <w:r w:rsidR="00FA19A7" w:rsidRPr="00FD6B74">
        <w:rPr>
          <w:rFonts w:ascii="Cambria" w:hAnsi="Cambria"/>
          <w:b/>
          <w:vertAlign w:val="superscript"/>
        </w:rPr>
        <w:t>1</w:t>
      </w:r>
      <w:r w:rsidR="00FA19A7" w:rsidRPr="00FD6B74">
        <w:rPr>
          <w:rFonts w:ascii="Cambria" w:hAnsi="Cambria"/>
          <w:b/>
        </w:rPr>
        <w:t>, Α. Τζιμογιάννης</w:t>
      </w:r>
      <w:r w:rsidRPr="00FD6B74">
        <w:rPr>
          <w:rFonts w:ascii="Cambria" w:hAnsi="Cambria"/>
          <w:b/>
          <w:vertAlign w:val="superscript"/>
        </w:rPr>
        <w:t>2</w:t>
      </w:r>
    </w:p>
    <w:p w14:paraId="52BD77BA" w14:textId="3B5D2318" w:rsidR="00FA19A7" w:rsidRPr="003E1FDC" w:rsidRDefault="006B30ED" w:rsidP="00332A25">
      <w:pPr>
        <w:spacing w:before="120"/>
        <w:jc w:val="center"/>
        <w:rPr>
          <w:rFonts w:ascii="Cambria" w:hAnsi="Cambria"/>
          <w:sz w:val="20"/>
        </w:rPr>
      </w:pPr>
      <w:r>
        <w:rPr>
          <w:rFonts w:ascii="Cambria" w:hAnsi="Cambria"/>
          <w:sz w:val="20"/>
          <w:szCs w:val="20"/>
          <w:lang w:val="en-US"/>
        </w:rPr>
        <w:t>koutro</w:t>
      </w:r>
      <w:r w:rsidR="00FA19A7">
        <w:rPr>
          <w:rFonts w:ascii="Cambria" w:hAnsi="Cambria"/>
          <w:sz w:val="20"/>
          <w:szCs w:val="20"/>
        </w:rPr>
        <w:t>@</w:t>
      </w:r>
      <w:proofErr w:type="spellStart"/>
      <w:r>
        <w:rPr>
          <w:rFonts w:ascii="Cambria" w:hAnsi="Cambria"/>
          <w:sz w:val="20"/>
          <w:szCs w:val="20"/>
          <w:lang w:val="en-US"/>
        </w:rPr>
        <w:t>primedu</w:t>
      </w:r>
      <w:proofErr w:type="spellEnd"/>
      <w:r w:rsidRPr="006B30ED">
        <w:rPr>
          <w:rFonts w:ascii="Cambria" w:hAnsi="Cambria"/>
          <w:sz w:val="20"/>
          <w:szCs w:val="20"/>
        </w:rPr>
        <w:t>.</w:t>
      </w:r>
      <w:proofErr w:type="spellStart"/>
      <w:r>
        <w:rPr>
          <w:rFonts w:ascii="Cambria" w:hAnsi="Cambria"/>
          <w:sz w:val="20"/>
          <w:szCs w:val="20"/>
          <w:lang w:val="en-US"/>
        </w:rPr>
        <w:t>uoa</w:t>
      </w:r>
      <w:proofErr w:type="spellEnd"/>
      <w:r w:rsidRPr="006B30ED">
        <w:rPr>
          <w:rFonts w:ascii="Cambria" w:hAnsi="Cambria"/>
          <w:sz w:val="20"/>
          <w:szCs w:val="20"/>
        </w:rPr>
        <w:t>.</w:t>
      </w:r>
      <w:r>
        <w:rPr>
          <w:rFonts w:ascii="Cambria" w:hAnsi="Cambria"/>
          <w:sz w:val="20"/>
          <w:szCs w:val="20"/>
          <w:lang w:val="en-US"/>
        </w:rPr>
        <w:t>gr</w:t>
      </w:r>
      <w:r w:rsidR="00FA19A7" w:rsidRPr="003E1FDC">
        <w:rPr>
          <w:rFonts w:ascii="Cambria" w:hAnsi="Cambria"/>
          <w:sz w:val="20"/>
          <w:szCs w:val="20"/>
        </w:rPr>
        <w:t xml:space="preserve">, </w:t>
      </w:r>
      <w:proofErr w:type="spellStart"/>
      <w:r w:rsidR="00FA19A7" w:rsidRPr="003E1FDC">
        <w:rPr>
          <w:rFonts w:ascii="Cambria" w:hAnsi="Cambria"/>
          <w:sz w:val="20"/>
          <w:lang w:val="en-US"/>
        </w:rPr>
        <w:t>ajimoyia</w:t>
      </w:r>
      <w:proofErr w:type="spellEnd"/>
      <w:r w:rsidR="00FA19A7" w:rsidRPr="003E1FDC">
        <w:rPr>
          <w:rFonts w:ascii="Cambria" w:hAnsi="Cambria"/>
          <w:sz w:val="20"/>
        </w:rPr>
        <w:t>@</w:t>
      </w:r>
      <w:proofErr w:type="spellStart"/>
      <w:r w:rsidR="00FA19A7" w:rsidRPr="003E1FDC">
        <w:rPr>
          <w:rFonts w:ascii="Cambria" w:hAnsi="Cambria"/>
          <w:sz w:val="20"/>
          <w:lang w:val="en-US"/>
        </w:rPr>
        <w:t>uop</w:t>
      </w:r>
      <w:proofErr w:type="spellEnd"/>
      <w:r w:rsidR="00FA19A7" w:rsidRPr="003E1FDC">
        <w:rPr>
          <w:rFonts w:ascii="Cambria" w:hAnsi="Cambria"/>
          <w:sz w:val="20"/>
        </w:rPr>
        <w:t>.</w:t>
      </w:r>
      <w:r w:rsidR="00FA19A7" w:rsidRPr="003E1FDC">
        <w:rPr>
          <w:rFonts w:ascii="Cambria" w:hAnsi="Cambria"/>
          <w:sz w:val="20"/>
          <w:lang w:val="en-US"/>
        </w:rPr>
        <w:t>gr</w:t>
      </w:r>
    </w:p>
    <w:p w14:paraId="49A6F203" w14:textId="77777777" w:rsidR="00FA19A7" w:rsidRPr="003E1FDC" w:rsidRDefault="00FA19A7" w:rsidP="00304FE5">
      <w:pPr>
        <w:jc w:val="center"/>
        <w:rPr>
          <w:rFonts w:ascii="Cambria" w:hAnsi="Cambria"/>
          <w:b/>
          <w:sz w:val="22"/>
          <w:szCs w:val="26"/>
        </w:rPr>
      </w:pPr>
    </w:p>
    <w:p w14:paraId="249F35F5" w14:textId="61476C2D" w:rsidR="00FA19A7" w:rsidRPr="003E1FDC" w:rsidRDefault="00FA19A7" w:rsidP="00147927">
      <w:pPr>
        <w:jc w:val="center"/>
        <w:rPr>
          <w:rFonts w:ascii="Cambria" w:hAnsi="Cambria"/>
          <w:sz w:val="20"/>
        </w:rPr>
      </w:pPr>
      <w:r>
        <w:rPr>
          <w:rFonts w:ascii="Cambria" w:hAnsi="Cambria"/>
          <w:sz w:val="20"/>
          <w:vertAlign w:val="superscript"/>
        </w:rPr>
        <w:t>1</w:t>
      </w:r>
      <w:r w:rsidRPr="003E1FDC">
        <w:rPr>
          <w:rFonts w:ascii="Cambria" w:hAnsi="Cambria"/>
          <w:sz w:val="20"/>
          <w:vertAlign w:val="superscript"/>
        </w:rPr>
        <w:t xml:space="preserve"> </w:t>
      </w:r>
      <w:r w:rsidR="006B30ED">
        <w:rPr>
          <w:rFonts w:ascii="Cambria" w:hAnsi="Cambria"/>
          <w:sz w:val="20"/>
        </w:rPr>
        <w:t>Παιδαγωγικό Τμήμα Δημοτικής Εκπαίδευσης, Εθνικό και Καποδιστριακό Πανεπιστήμιο Αθηνών</w:t>
      </w:r>
    </w:p>
    <w:p w14:paraId="0AE5BBD1" w14:textId="70AB0E27" w:rsidR="00FA19A7" w:rsidRPr="003E1FDC" w:rsidRDefault="00FA19A7" w:rsidP="000543CA">
      <w:pPr>
        <w:spacing w:after="120"/>
        <w:jc w:val="center"/>
        <w:rPr>
          <w:rFonts w:ascii="Cambria" w:hAnsi="Cambria"/>
          <w:sz w:val="20"/>
        </w:rPr>
      </w:pPr>
      <w:bookmarkStart w:id="2" w:name="_Hlk115871552"/>
      <w:r>
        <w:rPr>
          <w:rFonts w:ascii="Cambria" w:hAnsi="Cambria"/>
          <w:sz w:val="20"/>
          <w:vertAlign w:val="superscript"/>
        </w:rPr>
        <w:t>2</w:t>
      </w:r>
      <w:r w:rsidRPr="003E1FDC">
        <w:rPr>
          <w:rFonts w:ascii="Cambria" w:hAnsi="Cambria"/>
          <w:sz w:val="20"/>
        </w:rPr>
        <w:t xml:space="preserve"> </w:t>
      </w:r>
      <w:r w:rsidR="006B30ED" w:rsidRPr="006B30ED">
        <w:rPr>
          <w:rFonts w:ascii="Cambria" w:hAnsi="Cambria"/>
          <w:sz w:val="20"/>
        </w:rPr>
        <w:t>Τμήμα Εκπαιδευτικής και Κοινωνικής Πολιτικής, Πανεπιστήμιο Πελοποννήσου</w:t>
      </w:r>
      <w:bookmarkEnd w:id="1"/>
    </w:p>
    <w:p w14:paraId="337D2B9D" w14:textId="77777777" w:rsidR="00EF5FBE" w:rsidRPr="00EF5FBE" w:rsidRDefault="00EF5FBE" w:rsidP="000543CA">
      <w:pPr>
        <w:spacing w:before="240" w:after="120"/>
        <w:jc w:val="both"/>
        <w:rPr>
          <w:rFonts w:ascii="Cambria" w:hAnsi="Cambria"/>
          <w:b/>
        </w:rPr>
      </w:pPr>
      <w:bookmarkStart w:id="3" w:name="_Hlk115871632"/>
      <w:bookmarkEnd w:id="2"/>
      <w:r w:rsidRPr="00EF5FBE">
        <w:rPr>
          <w:rFonts w:ascii="Cambria" w:hAnsi="Cambria"/>
          <w:b/>
        </w:rPr>
        <w:t>Εισαγωγή</w:t>
      </w:r>
    </w:p>
    <w:p w14:paraId="63FEF934" w14:textId="77777777" w:rsidR="00EF5FBE" w:rsidRPr="00162751" w:rsidRDefault="00EF5FBE" w:rsidP="00C2584D">
      <w:pPr>
        <w:spacing w:after="120"/>
        <w:jc w:val="both"/>
        <w:rPr>
          <w:rFonts w:ascii="Cambria" w:hAnsi="Cambria"/>
          <w:sz w:val="22"/>
          <w:szCs w:val="22"/>
        </w:rPr>
      </w:pPr>
      <w:r w:rsidRPr="00162751">
        <w:rPr>
          <w:rFonts w:ascii="Cambria" w:hAnsi="Cambria"/>
          <w:sz w:val="22"/>
          <w:szCs w:val="22"/>
        </w:rPr>
        <w:t>Στην εισαγωγή παρουσιάζεται συνοπτικά το ερευνητικό πρόβλημα και τεκμηριώνεται η σημασία και η πρωτοτυπία της έρευνας.</w:t>
      </w:r>
    </w:p>
    <w:p w14:paraId="47AB318F" w14:textId="77777777" w:rsidR="00FA19A7" w:rsidRPr="00162751" w:rsidRDefault="00FA19A7" w:rsidP="00C2584D">
      <w:pPr>
        <w:spacing w:after="120"/>
        <w:jc w:val="both"/>
        <w:rPr>
          <w:rFonts w:ascii="Cambria" w:hAnsi="Cambria"/>
          <w:sz w:val="22"/>
          <w:szCs w:val="22"/>
        </w:rPr>
      </w:pPr>
      <w:r w:rsidRPr="00162751">
        <w:rPr>
          <w:rFonts w:ascii="Cambria" w:hAnsi="Cambria"/>
          <w:sz w:val="22"/>
          <w:szCs w:val="22"/>
        </w:rPr>
        <w:t>Τα τελευταία χρόνια ο σχεδιασμός, η έρευνα και η εκπαιδευτική αξιοποίηση ψηφιακού περιεχομένου και ανοιχτών ψηφιακών πόρων διαμορφώνουν ένα δυναμικό πεδίο έρευνας για τον παιδαγωγικό σχεδιασμό και την ένταξη των Τεχνολογιών Πληροφορίας και Επικοινωνιών (ΤΠΕ) στην εκπαίδευση. Διεθνώς, υπάρχει ένα συνεχώς αυξανόμενο ενδιαφέρον για τη χρήση ανοικτών εκπαιδευτικών πόρων και ανοιχτών εκπαιδευτικών πρακτικών, τόσο στην ηλεκτρονική μάθηση όσο και στις συνήθεις εκπαιδευτικές πρακτικές σε σχολεία και ανώτατα ιδρύματα. Τα Μαθησιακά Αντικείμενα (</w:t>
      </w:r>
      <w:proofErr w:type="spellStart"/>
      <w:r w:rsidRPr="00162751">
        <w:rPr>
          <w:rFonts w:ascii="Cambria" w:hAnsi="Cambria"/>
          <w:sz w:val="22"/>
          <w:szCs w:val="22"/>
        </w:rPr>
        <w:t>Learning</w:t>
      </w:r>
      <w:proofErr w:type="spellEnd"/>
      <w:r w:rsidRPr="00162751">
        <w:rPr>
          <w:rFonts w:ascii="Cambria" w:hAnsi="Cambria"/>
          <w:sz w:val="22"/>
          <w:szCs w:val="22"/>
        </w:rPr>
        <w:t xml:space="preserve"> </w:t>
      </w:r>
      <w:proofErr w:type="spellStart"/>
      <w:r w:rsidRPr="00162751">
        <w:rPr>
          <w:rFonts w:ascii="Cambria" w:hAnsi="Cambria"/>
          <w:sz w:val="22"/>
          <w:szCs w:val="22"/>
        </w:rPr>
        <w:t>Objects</w:t>
      </w:r>
      <w:proofErr w:type="spellEnd"/>
      <w:r w:rsidRPr="00162751">
        <w:rPr>
          <w:rFonts w:ascii="Cambria" w:hAnsi="Cambria"/>
          <w:sz w:val="22"/>
          <w:szCs w:val="22"/>
        </w:rPr>
        <w:t>) αποτελούν ένα νέο τύπο διαδικτυακών</w:t>
      </w:r>
      <w:r w:rsidR="00285192" w:rsidRPr="00162751">
        <w:rPr>
          <w:rFonts w:ascii="Cambria" w:hAnsi="Cambria"/>
          <w:sz w:val="22"/>
          <w:szCs w:val="22"/>
        </w:rPr>
        <w:t xml:space="preserve"> </w:t>
      </w:r>
      <w:r w:rsidRPr="00162751">
        <w:rPr>
          <w:rFonts w:ascii="Cambria" w:hAnsi="Cambria"/>
          <w:sz w:val="22"/>
          <w:szCs w:val="22"/>
        </w:rPr>
        <w:t>εργαλείων για τη διδασκαλία και τη μάθηση, τα οποία βασίζονται στην ιδέα μικρών, αυτοτελών και επαναχρησιμοποιήσιμων μονάδων μάθησης, που έχουν ως στόχο την κατανόηση σύνθετων εννοιών, διαδικασιών και αρχών σε διάφορα γνωστικά αντικείμενα.</w:t>
      </w:r>
    </w:p>
    <w:p w14:paraId="0D99037C" w14:textId="77777777" w:rsidR="00AB6826" w:rsidRPr="00162751" w:rsidRDefault="00AB6826" w:rsidP="00AB6826">
      <w:pPr>
        <w:spacing w:after="120"/>
        <w:jc w:val="both"/>
        <w:rPr>
          <w:rFonts w:ascii="Cambria" w:hAnsi="Cambria"/>
          <w:sz w:val="22"/>
          <w:szCs w:val="22"/>
        </w:rPr>
      </w:pPr>
      <w:r w:rsidRPr="00162751">
        <w:rPr>
          <w:rFonts w:ascii="Cambria" w:hAnsi="Cambria"/>
          <w:sz w:val="22"/>
          <w:szCs w:val="22"/>
        </w:rPr>
        <w:t>Η μελέτη της χρήσης ψηφιακών Μαθησιακών Αντικειμένων (ΜΑ) από μαθητές και εκπαιδευτικούς και η ένταξή τους στην πρακτική της τάξης αποτελεί ένα ανοιχτό ερευνητικό πρόβλημα. Στην παρούσα εργασία παρουσιάζονται τα πρώτα αποτελέσματα μελέτης και αφορά στις απόψεις εκπαιδευτικών για την παιδαγωγική και διδακτική αξία είκοσι (20) ΜΑ για το μάθημα Πληροφορικής Γυμνασίου και, ειδικότερα, για την ενότητα της Αλγοριθμικής.</w:t>
      </w:r>
    </w:p>
    <w:p w14:paraId="7A8B74BB" w14:textId="77777777" w:rsidR="00EF5FBE" w:rsidRPr="00EF5FBE" w:rsidRDefault="00EF5FBE" w:rsidP="000543CA">
      <w:pPr>
        <w:spacing w:before="240" w:after="120"/>
        <w:jc w:val="both"/>
        <w:rPr>
          <w:rFonts w:ascii="Cambria" w:hAnsi="Cambria"/>
          <w:b/>
        </w:rPr>
      </w:pPr>
      <w:r w:rsidRPr="00EF5FBE">
        <w:rPr>
          <w:rFonts w:ascii="Cambria" w:hAnsi="Cambria"/>
          <w:b/>
        </w:rPr>
        <w:t>Μεθοδολογία έρευνας</w:t>
      </w:r>
    </w:p>
    <w:p w14:paraId="530A14B5" w14:textId="77777777" w:rsidR="00EF5FBE" w:rsidRPr="00162751" w:rsidRDefault="00EF5FBE" w:rsidP="00275A62">
      <w:pPr>
        <w:spacing w:after="120"/>
        <w:jc w:val="both"/>
        <w:rPr>
          <w:rFonts w:ascii="Cambria" w:hAnsi="Cambria"/>
          <w:sz w:val="22"/>
          <w:szCs w:val="22"/>
        </w:rPr>
      </w:pPr>
      <w:r w:rsidRPr="00162751">
        <w:rPr>
          <w:rFonts w:ascii="Cambria" w:hAnsi="Cambria"/>
          <w:sz w:val="22"/>
          <w:szCs w:val="22"/>
        </w:rPr>
        <w:t>Στην ενότητα αυτή παρουσιάζονται συνοπτικά οι κύριες μεθοδολογικές επιλογές.</w:t>
      </w:r>
    </w:p>
    <w:p w14:paraId="44C93773" w14:textId="77777777" w:rsidR="00FA19A7" w:rsidRPr="00162751" w:rsidRDefault="00FA19A7" w:rsidP="00275A62">
      <w:pPr>
        <w:spacing w:after="120"/>
        <w:jc w:val="both"/>
        <w:rPr>
          <w:rFonts w:ascii="Cambria" w:hAnsi="Cambria"/>
          <w:sz w:val="22"/>
          <w:szCs w:val="22"/>
        </w:rPr>
      </w:pPr>
      <w:r w:rsidRPr="00162751">
        <w:rPr>
          <w:rFonts w:ascii="Cambria" w:hAnsi="Cambria"/>
          <w:sz w:val="22"/>
          <w:szCs w:val="22"/>
        </w:rPr>
        <w:t xml:space="preserve">Η έρευνα διεξήχθη μέσω </w:t>
      </w:r>
      <w:r w:rsidR="00AB6826" w:rsidRPr="00162751">
        <w:rPr>
          <w:rFonts w:ascii="Cambria" w:hAnsi="Cambria"/>
          <w:sz w:val="22"/>
          <w:szCs w:val="22"/>
        </w:rPr>
        <w:t xml:space="preserve">ανώνυμου διαδικτυακού </w:t>
      </w:r>
      <w:r w:rsidRPr="00162751">
        <w:rPr>
          <w:rFonts w:ascii="Cambria" w:hAnsi="Cambria"/>
          <w:sz w:val="22"/>
          <w:szCs w:val="22"/>
        </w:rPr>
        <w:t xml:space="preserve">ερωτηματολογίου 36 ερωτημάτων κλίμακας </w:t>
      </w:r>
      <w:proofErr w:type="spellStart"/>
      <w:r w:rsidRPr="00162751">
        <w:rPr>
          <w:rFonts w:ascii="Cambria" w:hAnsi="Cambria"/>
          <w:sz w:val="22"/>
          <w:szCs w:val="22"/>
        </w:rPr>
        <w:t>Likert</w:t>
      </w:r>
      <w:proofErr w:type="spellEnd"/>
      <w:r w:rsidRPr="00162751">
        <w:rPr>
          <w:rFonts w:ascii="Cambria" w:hAnsi="Cambria"/>
          <w:sz w:val="22"/>
          <w:szCs w:val="22"/>
        </w:rPr>
        <w:t xml:space="preserve"> που αφορά στο περιεχόμενο, στην ευχρηστία και στα τεχνικά χαρακτηριστικά</w:t>
      </w:r>
      <w:r w:rsidR="00285192" w:rsidRPr="00162751">
        <w:rPr>
          <w:rFonts w:ascii="Cambria" w:hAnsi="Cambria"/>
          <w:sz w:val="22"/>
          <w:szCs w:val="22"/>
        </w:rPr>
        <w:t xml:space="preserve">, στα παιδαγωγικά-διδακτικά </w:t>
      </w:r>
      <w:r w:rsidRPr="00162751">
        <w:rPr>
          <w:rFonts w:ascii="Cambria" w:hAnsi="Cambria"/>
          <w:sz w:val="22"/>
          <w:szCs w:val="22"/>
        </w:rPr>
        <w:t xml:space="preserve">χαρακτηριστικά τον παιδαγωγικό σχεδιασμό και σε παράγοντες ένταξης των ΜΑ στην εκπαιδευτική πρακτική του μαθήματος στο γυμνάσιο. Συμμετείχαν 350 καθηγητές που διδάσκουν σε γυμνάσια στο λεκανοπέδιο Αττικής. </w:t>
      </w:r>
    </w:p>
    <w:p w14:paraId="76610C7E" w14:textId="77777777" w:rsidR="00AB6826" w:rsidRPr="00162751" w:rsidRDefault="00AB6826" w:rsidP="00275A62">
      <w:pPr>
        <w:spacing w:after="120"/>
        <w:jc w:val="both"/>
        <w:rPr>
          <w:rFonts w:ascii="Cambria" w:hAnsi="Cambria"/>
          <w:sz w:val="22"/>
          <w:szCs w:val="22"/>
        </w:rPr>
      </w:pPr>
      <w:r w:rsidRPr="00162751">
        <w:rPr>
          <w:rFonts w:ascii="Cambria" w:hAnsi="Cambria"/>
          <w:sz w:val="22"/>
          <w:szCs w:val="22"/>
        </w:rPr>
        <w:t xml:space="preserve">Η ανάλυση δεδομένων έγινε μέσω του </w:t>
      </w:r>
      <w:r w:rsidRPr="00162751">
        <w:rPr>
          <w:rFonts w:ascii="Cambria" w:hAnsi="Cambria"/>
          <w:sz w:val="22"/>
          <w:szCs w:val="22"/>
          <w:lang w:val="en-US"/>
        </w:rPr>
        <w:t>SPPS</w:t>
      </w:r>
      <w:r w:rsidRPr="00162751">
        <w:rPr>
          <w:rFonts w:ascii="Cambria" w:hAnsi="Cambria"/>
          <w:sz w:val="22"/>
          <w:szCs w:val="22"/>
        </w:rPr>
        <w:t xml:space="preserve"> (</w:t>
      </w:r>
      <w:r w:rsidRPr="00162751">
        <w:rPr>
          <w:rFonts w:ascii="Cambria" w:hAnsi="Cambria"/>
          <w:sz w:val="22"/>
          <w:szCs w:val="22"/>
          <w:lang w:val="en-US"/>
        </w:rPr>
        <w:t>v</w:t>
      </w:r>
      <w:r w:rsidRPr="00162751">
        <w:rPr>
          <w:rFonts w:ascii="Cambria" w:hAnsi="Cambria"/>
          <w:sz w:val="22"/>
          <w:szCs w:val="22"/>
        </w:rPr>
        <w:t>.28). Περιλαμβάνει την περιγραφική στατιστική των απαντήσεων των συμμετεχόντων και την παραγοντική ανάλυση των δεδομένων.</w:t>
      </w:r>
    </w:p>
    <w:p w14:paraId="3C107F04" w14:textId="77777777" w:rsidR="00EF5FBE" w:rsidRPr="00EF5FBE" w:rsidRDefault="00EF5FBE" w:rsidP="000543CA">
      <w:pPr>
        <w:spacing w:before="240" w:after="120"/>
        <w:jc w:val="both"/>
        <w:rPr>
          <w:rFonts w:ascii="Cambria" w:hAnsi="Cambria"/>
          <w:b/>
        </w:rPr>
      </w:pPr>
      <w:r w:rsidRPr="00EF5FBE">
        <w:rPr>
          <w:rFonts w:ascii="Cambria" w:hAnsi="Cambria"/>
          <w:b/>
        </w:rPr>
        <w:t>Αποτελέσματα</w:t>
      </w:r>
    </w:p>
    <w:p w14:paraId="5FE5A367" w14:textId="7F18280E" w:rsidR="00EF5FBE" w:rsidRPr="00162751" w:rsidRDefault="00EF5FBE" w:rsidP="00275A62">
      <w:pPr>
        <w:spacing w:after="120"/>
        <w:jc w:val="both"/>
        <w:rPr>
          <w:rFonts w:ascii="Cambria" w:hAnsi="Cambria"/>
          <w:sz w:val="22"/>
          <w:szCs w:val="22"/>
        </w:rPr>
      </w:pPr>
      <w:r w:rsidRPr="00162751">
        <w:rPr>
          <w:rFonts w:ascii="Cambria" w:hAnsi="Cambria"/>
          <w:sz w:val="22"/>
          <w:szCs w:val="22"/>
        </w:rPr>
        <w:t>Παρουσιάζονται τα κύρια ευρήματα της έρευνας</w:t>
      </w:r>
      <w:r w:rsidR="006B30ED" w:rsidRPr="00162751">
        <w:rPr>
          <w:rFonts w:ascii="Cambria" w:hAnsi="Cambria"/>
          <w:sz w:val="22"/>
          <w:szCs w:val="22"/>
        </w:rPr>
        <w:t>.</w:t>
      </w:r>
    </w:p>
    <w:p w14:paraId="07BA964A" w14:textId="5B2FF9DF" w:rsidR="00FA19A7" w:rsidRDefault="00FA19A7" w:rsidP="00275A62">
      <w:pPr>
        <w:spacing w:after="120"/>
        <w:jc w:val="both"/>
        <w:rPr>
          <w:rFonts w:ascii="Cambria" w:hAnsi="Cambria"/>
        </w:rPr>
      </w:pPr>
      <w:r w:rsidRPr="00162751">
        <w:rPr>
          <w:rFonts w:ascii="Cambria" w:hAnsi="Cambria"/>
          <w:sz w:val="22"/>
          <w:szCs w:val="22"/>
        </w:rPr>
        <w:t xml:space="preserve">Από την ανάλυση των αποτελεσμάτων προέκυψε ότι η πλειονότητα των εκπαιδευτικών αξιολόγησε θετικά την ποιότητα του περιεχομένου, την ευχρηστία και τον παιδαγωγικό σχεδιασμό των παραπάνω ΜΑ. Παρότι αναγνωρίζουν την αξία και τη χρησιμότητα των ΜΑ στη διδακτική πράξη, επισημαίνουν την ανάγκη κατάλληλης επιμόρφωσης των εκπαιδευτικών της πράξης, ώστε να αξιοποιήσουν αποτελεσματικά τα ΜΑ σχεδιάζοντας κατάλληλες μαθησιακές δραστηριότητες σύμφωνα με τους στόχους του Προγράμματος Σπουδών. Τέλος, οι </w:t>
      </w:r>
      <w:r w:rsidRPr="00162751">
        <w:rPr>
          <w:rFonts w:ascii="Cambria" w:hAnsi="Cambria"/>
          <w:sz w:val="22"/>
          <w:szCs w:val="22"/>
        </w:rPr>
        <w:lastRenderedPageBreak/>
        <w:t>συμμετέχοντες εκπαιδευτικοί έδωσαν συγκεκριμένες προτάσεις, οι οποίες αφορούν στη βελτίωση και</w:t>
      </w:r>
      <w:r w:rsidR="00AB6826" w:rsidRPr="00162751">
        <w:rPr>
          <w:rFonts w:ascii="Cambria" w:hAnsi="Cambria"/>
          <w:sz w:val="22"/>
          <w:szCs w:val="22"/>
        </w:rPr>
        <w:t xml:space="preserve"> στην επεκτασιμότητα κάποιων ΜΑ.</w:t>
      </w:r>
    </w:p>
    <w:p w14:paraId="4DD7D76F" w14:textId="77777777" w:rsidR="000543CA" w:rsidRPr="00162751" w:rsidRDefault="000543CA" w:rsidP="000543CA">
      <w:pPr>
        <w:spacing w:before="240" w:after="120"/>
        <w:jc w:val="center"/>
        <w:rPr>
          <w:rFonts w:asciiTheme="majorHAnsi" w:hAnsiTheme="majorHAnsi"/>
          <w:b/>
          <w:bCs/>
          <w:sz w:val="20"/>
          <w:szCs w:val="20"/>
        </w:rPr>
      </w:pPr>
      <w:r w:rsidRPr="00162751">
        <w:rPr>
          <w:rFonts w:asciiTheme="majorHAnsi" w:hAnsiTheme="majorHAnsi"/>
          <w:b/>
          <w:bCs/>
          <w:sz w:val="20"/>
          <w:szCs w:val="20"/>
        </w:rPr>
        <w:t>Πίνακας 1. Παράδειγμα μορφοποίησης πίνακα</w:t>
      </w:r>
    </w:p>
    <w:tbl>
      <w:tblPr>
        <w:tblW w:w="5849" w:type="dxa"/>
        <w:jc w:val="center"/>
        <w:tblLayout w:type="fixed"/>
        <w:tblCellMar>
          <w:left w:w="0" w:type="dxa"/>
          <w:right w:w="0" w:type="dxa"/>
        </w:tblCellMar>
        <w:tblLook w:val="0000" w:firstRow="0" w:lastRow="0" w:firstColumn="0" w:lastColumn="0" w:noHBand="0" w:noVBand="0"/>
      </w:tblPr>
      <w:tblGrid>
        <w:gridCol w:w="3087"/>
        <w:gridCol w:w="1322"/>
        <w:gridCol w:w="1440"/>
      </w:tblGrid>
      <w:tr w:rsidR="000543CA" w:rsidRPr="000543CA" w14:paraId="081690AD" w14:textId="77777777" w:rsidTr="005F1F2C">
        <w:trPr>
          <w:trHeight w:val="255"/>
          <w:jc w:val="center"/>
        </w:trPr>
        <w:tc>
          <w:tcPr>
            <w:tcW w:w="3087" w:type="dxa"/>
            <w:tcBorders>
              <w:top w:val="single" w:sz="8" w:space="0" w:color="auto"/>
              <w:bottom w:val="single" w:sz="8" w:space="0" w:color="auto"/>
            </w:tcBorders>
            <w:noWrap/>
            <w:tcMar>
              <w:top w:w="15" w:type="dxa"/>
              <w:left w:w="15" w:type="dxa"/>
              <w:bottom w:w="0" w:type="dxa"/>
              <w:right w:w="15" w:type="dxa"/>
            </w:tcMar>
            <w:vAlign w:val="center"/>
          </w:tcPr>
          <w:p w14:paraId="6C708BD9" w14:textId="77777777" w:rsidR="000543CA" w:rsidRPr="005F1F2C" w:rsidRDefault="000543CA" w:rsidP="00F807BB">
            <w:pPr>
              <w:jc w:val="both"/>
              <w:rPr>
                <w:rFonts w:asciiTheme="majorHAnsi" w:eastAsia="Arial Unicode MS" w:hAnsiTheme="majorHAnsi"/>
                <w:b/>
                <w:bCs/>
                <w:sz w:val="20"/>
                <w:szCs w:val="20"/>
              </w:rPr>
            </w:pPr>
            <w:r w:rsidRPr="005F1F2C">
              <w:rPr>
                <w:rFonts w:asciiTheme="majorHAnsi" w:hAnsiTheme="majorHAnsi"/>
                <w:b/>
                <w:bCs/>
                <w:sz w:val="20"/>
                <w:szCs w:val="20"/>
              </w:rPr>
              <w:t>Θέση υπηρεσίας εκπαιδευτικών</w:t>
            </w:r>
          </w:p>
        </w:tc>
        <w:tc>
          <w:tcPr>
            <w:tcW w:w="1322" w:type="dxa"/>
            <w:tcBorders>
              <w:top w:val="single" w:sz="8" w:space="0" w:color="auto"/>
              <w:bottom w:val="single" w:sz="8" w:space="0" w:color="auto"/>
            </w:tcBorders>
            <w:noWrap/>
            <w:tcMar>
              <w:top w:w="15" w:type="dxa"/>
              <w:left w:w="15" w:type="dxa"/>
              <w:bottom w:w="0" w:type="dxa"/>
              <w:right w:w="15" w:type="dxa"/>
            </w:tcMar>
            <w:vAlign w:val="center"/>
          </w:tcPr>
          <w:p w14:paraId="34B1EB75" w14:textId="77777777" w:rsidR="000543CA" w:rsidRPr="005F1F2C" w:rsidRDefault="000543CA" w:rsidP="00F807BB">
            <w:pPr>
              <w:jc w:val="center"/>
              <w:rPr>
                <w:rFonts w:asciiTheme="majorHAnsi" w:eastAsia="Arial Unicode MS" w:hAnsiTheme="majorHAnsi"/>
                <w:b/>
                <w:bCs/>
                <w:sz w:val="20"/>
                <w:szCs w:val="20"/>
              </w:rPr>
            </w:pPr>
            <w:r w:rsidRPr="005F1F2C">
              <w:rPr>
                <w:rFonts w:asciiTheme="majorHAnsi" w:hAnsiTheme="majorHAnsi"/>
                <w:b/>
                <w:bCs/>
                <w:snapToGrid w:val="0"/>
                <w:sz w:val="20"/>
                <w:szCs w:val="20"/>
              </w:rPr>
              <w:t>Συχνότητα</w:t>
            </w:r>
          </w:p>
        </w:tc>
        <w:tc>
          <w:tcPr>
            <w:tcW w:w="1440" w:type="dxa"/>
            <w:tcBorders>
              <w:top w:val="single" w:sz="8" w:space="0" w:color="auto"/>
              <w:bottom w:val="single" w:sz="8" w:space="0" w:color="auto"/>
            </w:tcBorders>
            <w:noWrap/>
            <w:tcMar>
              <w:top w:w="15" w:type="dxa"/>
              <w:left w:w="15" w:type="dxa"/>
              <w:bottom w:w="0" w:type="dxa"/>
              <w:right w:w="15" w:type="dxa"/>
            </w:tcMar>
            <w:vAlign w:val="center"/>
          </w:tcPr>
          <w:p w14:paraId="28A2C970" w14:textId="2E64957E" w:rsidR="000543CA" w:rsidRPr="005F1F2C" w:rsidRDefault="000543CA" w:rsidP="00F807BB">
            <w:pPr>
              <w:jc w:val="center"/>
              <w:rPr>
                <w:rFonts w:asciiTheme="majorHAnsi" w:eastAsia="Arial Unicode MS" w:hAnsiTheme="majorHAnsi"/>
                <w:b/>
                <w:bCs/>
                <w:sz w:val="20"/>
                <w:szCs w:val="20"/>
                <w:lang w:val="en-GB"/>
              </w:rPr>
            </w:pPr>
            <w:r w:rsidRPr="005F1F2C">
              <w:rPr>
                <w:rFonts w:asciiTheme="majorHAnsi" w:hAnsiTheme="majorHAnsi"/>
                <w:b/>
                <w:bCs/>
                <w:snapToGrid w:val="0"/>
                <w:sz w:val="20"/>
                <w:szCs w:val="20"/>
              </w:rPr>
              <w:t>Ποσοστό</w:t>
            </w:r>
            <w:r w:rsidRPr="005F1F2C">
              <w:rPr>
                <w:rFonts w:asciiTheme="majorHAnsi" w:hAnsiTheme="majorHAnsi"/>
                <w:b/>
                <w:bCs/>
                <w:snapToGrid w:val="0"/>
                <w:sz w:val="20"/>
                <w:szCs w:val="20"/>
                <w:lang w:val="en-GB"/>
              </w:rPr>
              <w:t xml:space="preserve"> %</w:t>
            </w:r>
          </w:p>
        </w:tc>
      </w:tr>
      <w:tr w:rsidR="000543CA" w:rsidRPr="000543CA" w14:paraId="4EF9CD5E" w14:textId="77777777" w:rsidTr="005F1F2C">
        <w:trPr>
          <w:trHeight w:val="255"/>
          <w:jc w:val="center"/>
        </w:trPr>
        <w:tc>
          <w:tcPr>
            <w:tcW w:w="3087" w:type="dxa"/>
            <w:tcBorders>
              <w:top w:val="single" w:sz="8" w:space="0" w:color="auto"/>
              <w:bottom w:val="single" w:sz="2" w:space="0" w:color="auto"/>
            </w:tcBorders>
            <w:noWrap/>
            <w:tcMar>
              <w:top w:w="15" w:type="dxa"/>
              <w:left w:w="15" w:type="dxa"/>
              <w:bottom w:w="0" w:type="dxa"/>
              <w:right w:w="15" w:type="dxa"/>
            </w:tcMar>
            <w:vAlign w:val="center"/>
          </w:tcPr>
          <w:p w14:paraId="64B8FF28" w14:textId="77777777" w:rsidR="000543CA" w:rsidRPr="005F1F2C" w:rsidRDefault="000543CA" w:rsidP="00F807BB">
            <w:pPr>
              <w:jc w:val="both"/>
              <w:rPr>
                <w:rFonts w:asciiTheme="majorHAnsi" w:eastAsia="Arial Unicode MS" w:hAnsiTheme="majorHAnsi"/>
                <w:sz w:val="20"/>
                <w:szCs w:val="20"/>
              </w:rPr>
            </w:pPr>
            <w:bookmarkStart w:id="4" w:name="_Hlk147230206"/>
            <w:r w:rsidRPr="005F1F2C">
              <w:rPr>
                <w:rFonts w:asciiTheme="majorHAnsi" w:hAnsiTheme="majorHAnsi"/>
                <w:sz w:val="20"/>
                <w:szCs w:val="20"/>
              </w:rPr>
              <w:t>Προσχολική αγωγή</w:t>
            </w:r>
          </w:p>
        </w:tc>
        <w:tc>
          <w:tcPr>
            <w:tcW w:w="1322" w:type="dxa"/>
            <w:tcBorders>
              <w:top w:val="single" w:sz="8" w:space="0" w:color="auto"/>
              <w:bottom w:val="single" w:sz="2" w:space="0" w:color="auto"/>
            </w:tcBorders>
            <w:noWrap/>
            <w:tcMar>
              <w:top w:w="15" w:type="dxa"/>
              <w:left w:w="15" w:type="dxa"/>
              <w:bottom w:w="0" w:type="dxa"/>
              <w:right w:w="15" w:type="dxa"/>
            </w:tcMar>
            <w:vAlign w:val="center"/>
          </w:tcPr>
          <w:p w14:paraId="28219838" w14:textId="77777777" w:rsidR="000543CA" w:rsidRPr="005F1F2C" w:rsidRDefault="000543CA" w:rsidP="00F807BB">
            <w:pPr>
              <w:jc w:val="center"/>
              <w:rPr>
                <w:rFonts w:asciiTheme="majorHAnsi" w:eastAsia="Arial Unicode MS" w:hAnsiTheme="majorHAnsi"/>
                <w:sz w:val="20"/>
                <w:szCs w:val="20"/>
                <w:lang w:val="en-GB"/>
              </w:rPr>
            </w:pPr>
            <w:r w:rsidRPr="005F1F2C">
              <w:rPr>
                <w:rFonts w:asciiTheme="majorHAnsi" w:hAnsiTheme="majorHAnsi"/>
                <w:sz w:val="20"/>
                <w:szCs w:val="20"/>
                <w:lang w:val="en-GB"/>
              </w:rPr>
              <w:t>79</w:t>
            </w:r>
          </w:p>
        </w:tc>
        <w:tc>
          <w:tcPr>
            <w:tcW w:w="1440" w:type="dxa"/>
            <w:tcBorders>
              <w:top w:val="single" w:sz="8" w:space="0" w:color="auto"/>
              <w:bottom w:val="single" w:sz="2" w:space="0" w:color="auto"/>
            </w:tcBorders>
            <w:noWrap/>
            <w:tcMar>
              <w:top w:w="15" w:type="dxa"/>
              <w:left w:w="15" w:type="dxa"/>
              <w:bottom w:w="0" w:type="dxa"/>
              <w:right w:w="15" w:type="dxa"/>
            </w:tcMar>
            <w:vAlign w:val="center"/>
          </w:tcPr>
          <w:p w14:paraId="2BD96B65" w14:textId="77777777" w:rsidR="000543CA" w:rsidRPr="005F1F2C" w:rsidRDefault="000543CA" w:rsidP="00F807BB">
            <w:pPr>
              <w:jc w:val="center"/>
              <w:rPr>
                <w:rFonts w:asciiTheme="majorHAnsi" w:eastAsia="Arial Unicode MS" w:hAnsiTheme="majorHAnsi"/>
                <w:sz w:val="20"/>
                <w:szCs w:val="20"/>
                <w:lang w:val="en-GB"/>
              </w:rPr>
            </w:pPr>
            <w:r w:rsidRPr="005F1F2C">
              <w:rPr>
                <w:rFonts w:asciiTheme="majorHAnsi" w:hAnsiTheme="majorHAnsi"/>
                <w:sz w:val="20"/>
                <w:szCs w:val="20"/>
                <w:lang w:val="en-GB"/>
              </w:rPr>
              <w:t>6,8</w:t>
            </w:r>
          </w:p>
        </w:tc>
      </w:tr>
      <w:tr w:rsidR="000543CA" w:rsidRPr="000543CA" w14:paraId="31E53FFD" w14:textId="77777777" w:rsidTr="005F1F2C">
        <w:trPr>
          <w:trHeight w:val="255"/>
          <w:jc w:val="center"/>
        </w:trPr>
        <w:tc>
          <w:tcPr>
            <w:tcW w:w="3087" w:type="dxa"/>
            <w:tcBorders>
              <w:top w:val="single" w:sz="2" w:space="0" w:color="auto"/>
              <w:bottom w:val="single" w:sz="2" w:space="0" w:color="auto"/>
            </w:tcBorders>
            <w:noWrap/>
            <w:tcMar>
              <w:top w:w="15" w:type="dxa"/>
              <w:left w:w="15" w:type="dxa"/>
              <w:bottom w:w="0" w:type="dxa"/>
              <w:right w:w="15" w:type="dxa"/>
            </w:tcMar>
            <w:vAlign w:val="center"/>
          </w:tcPr>
          <w:p w14:paraId="60487A85" w14:textId="77777777" w:rsidR="000543CA" w:rsidRPr="005F1F2C" w:rsidRDefault="000543CA" w:rsidP="00F807BB">
            <w:pPr>
              <w:jc w:val="both"/>
              <w:rPr>
                <w:rFonts w:asciiTheme="majorHAnsi" w:eastAsia="Arial Unicode MS" w:hAnsiTheme="majorHAnsi"/>
                <w:sz w:val="20"/>
                <w:szCs w:val="20"/>
              </w:rPr>
            </w:pPr>
            <w:r w:rsidRPr="005F1F2C">
              <w:rPr>
                <w:rFonts w:asciiTheme="majorHAnsi" w:hAnsiTheme="majorHAnsi"/>
                <w:sz w:val="20"/>
                <w:szCs w:val="20"/>
              </w:rPr>
              <w:t>Πρωτοβάθμια</w:t>
            </w:r>
          </w:p>
        </w:tc>
        <w:tc>
          <w:tcPr>
            <w:tcW w:w="1322" w:type="dxa"/>
            <w:tcBorders>
              <w:top w:val="single" w:sz="2" w:space="0" w:color="auto"/>
              <w:bottom w:val="single" w:sz="2" w:space="0" w:color="auto"/>
            </w:tcBorders>
            <w:noWrap/>
            <w:tcMar>
              <w:top w:w="15" w:type="dxa"/>
              <w:left w:w="15" w:type="dxa"/>
              <w:bottom w:w="0" w:type="dxa"/>
              <w:right w:w="15" w:type="dxa"/>
            </w:tcMar>
            <w:vAlign w:val="center"/>
          </w:tcPr>
          <w:p w14:paraId="57912552" w14:textId="77777777" w:rsidR="000543CA" w:rsidRPr="005F1F2C" w:rsidRDefault="000543CA" w:rsidP="00F807BB">
            <w:pPr>
              <w:jc w:val="center"/>
              <w:rPr>
                <w:rFonts w:asciiTheme="majorHAnsi" w:eastAsia="Arial Unicode MS" w:hAnsiTheme="majorHAnsi"/>
                <w:sz w:val="20"/>
                <w:szCs w:val="20"/>
                <w:lang w:val="en-GB"/>
              </w:rPr>
            </w:pPr>
            <w:r w:rsidRPr="005F1F2C">
              <w:rPr>
                <w:rFonts w:asciiTheme="majorHAnsi" w:hAnsiTheme="majorHAnsi"/>
                <w:sz w:val="20"/>
                <w:szCs w:val="20"/>
                <w:lang w:val="en-GB"/>
              </w:rPr>
              <w:t>391</w:t>
            </w:r>
          </w:p>
        </w:tc>
        <w:tc>
          <w:tcPr>
            <w:tcW w:w="1440" w:type="dxa"/>
            <w:tcBorders>
              <w:top w:val="single" w:sz="2" w:space="0" w:color="auto"/>
              <w:bottom w:val="single" w:sz="2" w:space="0" w:color="auto"/>
            </w:tcBorders>
            <w:noWrap/>
            <w:tcMar>
              <w:top w:w="15" w:type="dxa"/>
              <w:left w:w="15" w:type="dxa"/>
              <w:bottom w:w="0" w:type="dxa"/>
              <w:right w:w="15" w:type="dxa"/>
            </w:tcMar>
            <w:vAlign w:val="center"/>
          </w:tcPr>
          <w:p w14:paraId="76518EEE" w14:textId="77777777" w:rsidR="000543CA" w:rsidRPr="005F1F2C" w:rsidRDefault="000543CA" w:rsidP="00F807BB">
            <w:pPr>
              <w:jc w:val="center"/>
              <w:rPr>
                <w:rFonts w:asciiTheme="majorHAnsi" w:eastAsia="Arial Unicode MS" w:hAnsiTheme="majorHAnsi"/>
                <w:sz w:val="20"/>
                <w:szCs w:val="20"/>
                <w:lang w:val="en-GB"/>
              </w:rPr>
            </w:pPr>
            <w:r w:rsidRPr="005F1F2C">
              <w:rPr>
                <w:rFonts w:asciiTheme="majorHAnsi" w:hAnsiTheme="majorHAnsi"/>
                <w:sz w:val="20"/>
                <w:szCs w:val="20"/>
                <w:lang w:val="en-GB"/>
              </w:rPr>
              <w:t>33,6</w:t>
            </w:r>
          </w:p>
        </w:tc>
      </w:tr>
      <w:tr w:rsidR="000543CA" w:rsidRPr="000543CA" w14:paraId="3EB38DA6" w14:textId="77777777" w:rsidTr="005F1F2C">
        <w:trPr>
          <w:trHeight w:val="255"/>
          <w:jc w:val="center"/>
        </w:trPr>
        <w:tc>
          <w:tcPr>
            <w:tcW w:w="3087" w:type="dxa"/>
            <w:tcBorders>
              <w:top w:val="single" w:sz="2" w:space="0" w:color="auto"/>
              <w:bottom w:val="single" w:sz="2" w:space="0" w:color="auto"/>
            </w:tcBorders>
            <w:noWrap/>
            <w:tcMar>
              <w:top w:w="15" w:type="dxa"/>
              <w:left w:w="15" w:type="dxa"/>
              <w:bottom w:w="0" w:type="dxa"/>
              <w:right w:w="15" w:type="dxa"/>
            </w:tcMar>
            <w:vAlign w:val="center"/>
          </w:tcPr>
          <w:p w14:paraId="42D4ACBE" w14:textId="77777777" w:rsidR="000543CA" w:rsidRPr="005F1F2C" w:rsidRDefault="000543CA" w:rsidP="00F807BB">
            <w:pPr>
              <w:jc w:val="both"/>
              <w:rPr>
                <w:rFonts w:asciiTheme="majorHAnsi" w:eastAsia="Arial Unicode MS" w:hAnsiTheme="majorHAnsi"/>
                <w:sz w:val="20"/>
                <w:szCs w:val="20"/>
              </w:rPr>
            </w:pPr>
            <w:r w:rsidRPr="005F1F2C">
              <w:rPr>
                <w:rFonts w:asciiTheme="majorHAnsi" w:hAnsiTheme="majorHAnsi"/>
                <w:sz w:val="20"/>
                <w:szCs w:val="20"/>
              </w:rPr>
              <w:t>Γυμνάσιο</w:t>
            </w:r>
          </w:p>
        </w:tc>
        <w:tc>
          <w:tcPr>
            <w:tcW w:w="1322" w:type="dxa"/>
            <w:tcBorders>
              <w:top w:val="single" w:sz="2" w:space="0" w:color="auto"/>
              <w:bottom w:val="single" w:sz="2" w:space="0" w:color="auto"/>
            </w:tcBorders>
            <w:noWrap/>
            <w:tcMar>
              <w:top w:w="15" w:type="dxa"/>
              <w:left w:w="15" w:type="dxa"/>
              <w:bottom w:w="0" w:type="dxa"/>
              <w:right w:w="15" w:type="dxa"/>
            </w:tcMar>
            <w:vAlign w:val="center"/>
          </w:tcPr>
          <w:p w14:paraId="73F3DB13" w14:textId="77777777" w:rsidR="000543CA" w:rsidRPr="005F1F2C" w:rsidRDefault="000543CA" w:rsidP="00F807BB">
            <w:pPr>
              <w:jc w:val="center"/>
              <w:rPr>
                <w:rFonts w:asciiTheme="majorHAnsi" w:eastAsia="Arial Unicode MS" w:hAnsiTheme="majorHAnsi"/>
                <w:sz w:val="20"/>
                <w:szCs w:val="20"/>
                <w:lang w:val="en-GB"/>
              </w:rPr>
            </w:pPr>
            <w:r w:rsidRPr="005F1F2C">
              <w:rPr>
                <w:rFonts w:asciiTheme="majorHAnsi" w:hAnsiTheme="majorHAnsi"/>
                <w:sz w:val="20"/>
                <w:szCs w:val="20"/>
                <w:lang w:val="en-GB"/>
              </w:rPr>
              <w:t>35</w:t>
            </w:r>
          </w:p>
        </w:tc>
        <w:tc>
          <w:tcPr>
            <w:tcW w:w="1440" w:type="dxa"/>
            <w:tcBorders>
              <w:top w:val="single" w:sz="2" w:space="0" w:color="auto"/>
              <w:bottom w:val="single" w:sz="2" w:space="0" w:color="auto"/>
            </w:tcBorders>
            <w:noWrap/>
            <w:tcMar>
              <w:top w:w="15" w:type="dxa"/>
              <w:left w:w="15" w:type="dxa"/>
              <w:bottom w:w="0" w:type="dxa"/>
              <w:right w:w="15" w:type="dxa"/>
            </w:tcMar>
            <w:vAlign w:val="center"/>
          </w:tcPr>
          <w:p w14:paraId="6D2850E0" w14:textId="77777777" w:rsidR="000543CA" w:rsidRPr="005F1F2C" w:rsidRDefault="000543CA" w:rsidP="00F807BB">
            <w:pPr>
              <w:jc w:val="center"/>
              <w:rPr>
                <w:rFonts w:asciiTheme="majorHAnsi" w:eastAsia="Arial Unicode MS" w:hAnsiTheme="majorHAnsi"/>
                <w:sz w:val="20"/>
                <w:szCs w:val="20"/>
                <w:lang w:val="en-GB"/>
              </w:rPr>
            </w:pPr>
            <w:r w:rsidRPr="005F1F2C">
              <w:rPr>
                <w:rFonts w:asciiTheme="majorHAnsi" w:hAnsiTheme="majorHAnsi"/>
                <w:sz w:val="20"/>
                <w:szCs w:val="20"/>
                <w:lang w:val="en-GB"/>
              </w:rPr>
              <w:t>3,0</w:t>
            </w:r>
          </w:p>
        </w:tc>
      </w:tr>
      <w:tr w:rsidR="000543CA" w:rsidRPr="000543CA" w14:paraId="13AA4C94" w14:textId="77777777" w:rsidTr="005F1F2C">
        <w:trPr>
          <w:trHeight w:val="255"/>
          <w:jc w:val="center"/>
        </w:trPr>
        <w:tc>
          <w:tcPr>
            <w:tcW w:w="3087" w:type="dxa"/>
            <w:tcBorders>
              <w:top w:val="single" w:sz="2" w:space="0" w:color="auto"/>
              <w:bottom w:val="single" w:sz="8" w:space="0" w:color="auto"/>
            </w:tcBorders>
            <w:noWrap/>
            <w:tcMar>
              <w:top w:w="15" w:type="dxa"/>
              <w:left w:w="15" w:type="dxa"/>
              <w:bottom w:w="0" w:type="dxa"/>
              <w:right w:w="15" w:type="dxa"/>
            </w:tcMar>
            <w:vAlign w:val="center"/>
          </w:tcPr>
          <w:p w14:paraId="094DDEEB" w14:textId="77777777" w:rsidR="000543CA" w:rsidRPr="005F1F2C" w:rsidRDefault="000543CA" w:rsidP="00F807BB">
            <w:pPr>
              <w:jc w:val="both"/>
              <w:rPr>
                <w:rFonts w:asciiTheme="majorHAnsi" w:hAnsiTheme="majorHAnsi"/>
                <w:sz w:val="20"/>
                <w:szCs w:val="20"/>
              </w:rPr>
            </w:pPr>
            <w:r w:rsidRPr="005F1F2C">
              <w:rPr>
                <w:rFonts w:asciiTheme="majorHAnsi" w:hAnsiTheme="majorHAnsi"/>
                <w:sz w:val="20"/>
                <w:szCs w:val="20"/>
              </w:rPr>
              <w:t>Λύκειο</w:t>
            </w:r>
          </w:p>
        </w:tc>
        <w:tc>
          <w:tcPr>
            <w:tcW w:w="1322" w:type="dxa"/>
            <w:tcBorders>
              <w:top w:val="single" w:sz="2" w:space="0" w:color="auto"/>
              <w:bottom w:val="single" w:sz="8" w:space="0" w:color="auto"/>
            </w:tcBorders>
            <w:noWrap/>
            <w:tcMar>
              <w:top w:w="15" w:type="dxa"/>
              <w:left w:w="15" w:type="dxa"/>
              <w:bottom w:w="0" w:type="dxa"/>
              <w:right w:w="15" w:type="dxa"/>
            </w:tcMar>
            <w:vAlign w:val="center"/>
          </w:tcPr>
          <w:p w14:paraId="0B6D8709" w14:textId="77777777" w:rsidR="000543CA" w:rsidRPr="005F1F2C" w:rsidRDefault="000543CA" w:rsidP="00F807BB">
            <w:pPr>
              <w:jc w:val="center"/>
              <w:rPr>
                <w:rFonts w:asciiTheme="majorHAnsi" w:eastAsia="Arial Unicode MS" w:hAnsiTheme="majorHAnsi"/>
                <w:sz w:val="20"/>
                <w:szCs w:val="20"/>
                <w:lang w:val="en-GB"/>
              </w:rPr>
            </w:pPr>
            <w:r w:rsidRPr="005F1F2C">
              <w:rPr>
                <w:rFonts w:asciiTheme="majorHAnsi" w:hAnsiTheme="majorHAnsi"/>
                <w:sz w:val="20"/>
                <w:szCs w:val="20"/>
                <w:lang w:val="en-GB"/>
              </w:rPr>
              <w:t>216</w:t>
            </w:r>
          </w:p>
        </w:tc>
        <w:tc>
          <w:tcPr>
            <w:tcW w:w="1440" w:type="dxa"/>
            <w:tcBorders>
              <w:top w:val="single" w:sz="2" w:space="0" w:color="auto"/>
              <w:bottom w:val="single" w:sz="8" w:space="0" w:color="auto"/>
            </w:tcBorders>
            <w:noWrap/>
            <w:tcMar>
              <w:top w:w="15" w:type="dxa"/>
              <w:left w:w="15" w:type="dxa"/>
              <w:bottom w:w="0" w:type="dxa"/>
              <w:right w:w="15" w:type="dxa"/>
            </w:tcMar>
            <w:vAlign w:val="center"/>
          </w:tcPr>
          <w:p w14:paraId="03E21773" w14:textId="77777777" w:rsidR="000543CA" w:rsidRPr="005F1F2C" w:rsidRDefault="000543CA" w:rsidP="00F807BB">
            <w:pPr>
              <w:jc w:val="center"/>
              <w:rPr>
                <w:rFonts w:asciiTheme="majorHAnsi" w:eastAsia="Arial Unicode MS" w:hAnsiTheme="majorHAnsi"/>
                <w:sz w:val="20"/>
                <w:szCs w:val="20"/>
                <w:lang w:val="en-GB"/>
              </w:rPr>
            </w:pPr>
            <w:r w:rsidRPr="005F1F2C">
              <w:rPr>
                <w:rFonts w:asciiTheme="majorHAnsi" w:hAnsiTheme="majorHAnsi"/>
                <w:sz w:val="20"/>
                <w:szCs w:val="20"/>
                <w:lang w:val="en-GB"/>
              </w:rPr>
              <w:t>18,5</w:t>
            </w:r>
          </w:p>
        </w:tc>
      </w:tr>
      <w:bookmarkEnd w:id="4"/>
      <w:tr w:rsidR="000543CA" w:rsidRPr="000543CA" w14:paraId="00552935" w14:textId="77777777" w:rsidTr="005F1F2C">
        <w:trPr>
          <w:trHeight w:val="270"/>
          <w:jc w:val="center"/>
        </w:trPr>
        <w:tc>
          <w:tcPr>
            <w:tcW w:w="3087" w:type="dxa"/>
            <w:tcBorders>
              <w:top w:val="single" w:sz="8" w:space="0" w:color="auto"/>
              <w:bottom w:val="single" w:sz="8" w:space="0" w:color="auto"/>
            </w:tcBorders>
            <w:noWrap/>
            <w:tcMar>
              <w:top w:w="15" w:type="dxa"/>
              <w:left w:w="15" w:type="dxa"/>
              <w:bottom w:w="0" w:type="dxa"/>
              <w:right w:w="15" w:type="dxa"/>
            </w:tcMar>
            <w:vAlign w:val="center"/>
          </w:tcPr>
          <w:p w14:paraId="07488D48" w14:textId="77777777" w:rsidR="000543CA" w:rsidRPr="005F1F2C" w:rsidRDefault="000543CA" w:rsidP="00F807BB">
            <w:pPr>
              <w:jc w:val="both"/>
              <w:rPr>
                <w:rFonts w:asciiTheme="majorHAnsi" w:eastAsia="Arial Unicode MS" w:hAnsiTheme="majorHAnsi"/>
                <w:b/>
                <w:bCs/>
                <w:sz w:val="20"/>
                <w:szCs w:val="20"/>
              </w:rPr>
            </w:pPr>
            <w:r w:rsidRPr="005F1F2C">
              <w:rPr>
                <w:rFonts w:asciiTheme="majorHAnsi" w:hAnsiTheme="majorHAnsi"/>
                <w:b/>
                <w:bCs/>
                <w:sz w:val="20"/>
                <w:szCs w:val="20"/>
              </w:rPr>
              <w:t>Σύνολο</w:t>
            </w:r>
          </w:p>
        </w:tc>
        <w:tc>
          <w:tcPr>
            <w:tcW w:w="1322" w:type="dxa"/>
            <w:tcBorders>
              <w:top w:val="single" w:sz="8" w:space="0" w:color="auto"/>
              <w:bottom w:val="single" w:sz="8" w:space="0" w:color="auto"/>
            </w:tcBorders>
            <w:noWrap/>
            <w:tcMar>
              <w:top w:w="15" w:type="dxa"/>
              <w:left w:w="15" w:type="dxa"/>
              <w:bottom w:w="0" w:type="dxa"/>
              <w:right w:w="15" w:type="dxa"/>
            </w:tcMar>
            <w:vAlign w:val="center"/>
          </w:tcPr>
          <w:p w14:paraId="0560A986" w14:textId="77777777" w:rsidR="000543CA" w:rsidRPr="005F1F2C" w:rsidRDefault="000543CA" w:rsidP="00F807BB">
            <w:pPr>
              <w:jc w:val="center"/>
              <w:rPr>
                <w:rFonts w:asciiTheme="majorHAnsi" w:eastAsia="Arial Unicode MS" w:hAnsiTheme="majorHAnsi"/>
                <w:b/>
                <w:bCs/>
                <w:sz w:val="20"/>
                <w:szCs w:val="20"/>
                <w:lang w:val="en-GB"/>
              </w:rPr>
            </w:pPr>
            <w:r w:rsidRPr="005F1F2C">
              <w:rPr>
                <w:rFonts w:asciiTheme="majorHAnsi" w:hAnsiTheme="majorHAnsi"/>
                <w:b/>
                <w:bCs/>
                <w:sz w:val="20"/>
                <w:szCs w:val="20"/>
                <w:lang w:val="en-GB"/>
              </w:rPr>
              <w:t>1165</w:t>
            </w:r>
          </w:p>
        </w:tc>
        <w:tc>
          <w:tcPr>
            <w:tcW w:w="1440" w:type="dxa"/>
            <w:tcBorders>
              <w:top w:val="single" w:sz="8" w:space="0" w:color="auto"/>
              <w:bottom w:val="single" w:sz="8" w:space="0" w:color="auto"/>
            </w:tcBorders>
            <w:noWrap/>
            <w:tcMar>
              <w:top w:w="15" w:type="dxa"/>
              <w:left w:w="15" w:type="dxa"/>
              <w:bottom w:w="0" w:type="dxa"/>
              <w:right w:w="15" w:type="dxa"/>
            </w:tcMar>
            <w:vAlign w:val="center"/>
          </w:tcPr>
          <w:p w14:paraId="68542D27" w14:textId="77777777" w:rsidR="000543CA" w:rsidRPr="005F1F2C" w:rsidRDefault="000543CA" w:rsidP="00F807BB">
            <w:pPr>
              <w:jc w:val="center"/>
              <w:rPr>
                <w:rFonts w:asciiTheme="majorHAnsi" w:eastAsia="Arial Unicode MS" w:hAnsiTheme="majorHAnsi"/>
                <w:b/>
                <w:bCs/>
                <w:sz w:val="20"/>
                <w:szCs w:val="20"/>
                <w:lang w:val="en-GB"/>
              </w:rPr>
            </w:pPr>
            <w:r w:rsidRPr="005F1F2C">
              <w:rPr>
                <w:rFonts w:asciiTheme="majorHAnsi" w:hAnsiTheme="majorHAnsi"/>
                <w:b/>
                <w:bCs/>
                <w:sz w:val="20"/>
                <w:szCs w:val="20"/>
                <w:lang w:val="en-GB"/>
              </w:rPr>
              <w:t>100,0</w:t>
            </w:r>
          </w:p>
        </w:tc>
      </w:tr>
    </w:tbl>
    <w:p w14:paraId="5A91BC79" w14:textId="4556E5E6" w:rsidR="000543CA" w:rsidRDefault="000543CA" w:rsidP="00275A62">
      <w:pPr>
        <w:spacing w:after="120"/>
        <w:jc w:val="both"/>
        <w:rPr>
          <w:rFonts w:ascii="Cambria" w:hAnsi="Cambria"/>
        </w:rPr>
      </w:pPr>
    </w:p>
    <w:p w14:paraId="74C28CAE" w14:textId="77777777" w:rsidR="000543CA" w:rsidRPr="006F4782" w:rsidRDefault="000543CA" w:rsidP="000543CA">
      <w:pPr>
        <w:spacing w:before="120" w:after="120"/>
        <w:jc w:val="center"/>
        <w:rPr>
          <w:rFonts w:ascii="Palatino" w:hAnsi="Palatino"/>
          <w:lang w:val="en-GB"/>
        </w:rPr>
      </w:pPr>
      <w:r>
        <w:rPr>
          <w:rFonts w:ascii="Palatino" w:hAnsi="Palatino"/>
          <w:noProof/>
          <w:lang w:val="en-US" w:eastAsia="en-US"/>
        </w:rPr>
        <w:drawing>
          <wp:inline distT="0" distB="0" distL="0" distR="0" wp14:anchorId="04E3C25D" wp14:editId="30A415B2">
            <wp:extent cx="3792220" cy="2514600"/>
            <wp:effectExtent l="0" t="0" r="0" b="0"/>
            <wp:docPr id="1" name="Αντικείμενο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69BDFC0" w14:textId="77777777" w:rsidR="000543CA" w:rsidRPr="00162751" w:rsidRDefault="000543CA" w:rsidP="000543CA">
      <w:pPr>
        <w:spacing w:before="120" w:after="240"/>
        <w:jc w:val="center"/>
        <w:rPr>
          <w:rFonts w:asciiTheme="majorHAnsi" w:hAnsiTheme="majorHAnsi"/>
          <w:b/>
          <w:bCs/>
          <w:sz w:val="20"/>
          <w:szCs w:val="20"/>
        </w:rPr>
      </w:pPr>
      <w:r w:rsidRPr="00162751">
        <w:rPr>
          <w:rFonts w:asciiTheme="majorHAnsi" w:hAnsiTheme="majorHAnsi"/>
          <w:b/>
          <w:bCs/>
          <w:sz w:val="20"/>
          <w:szCs w:val="20"/>
        </w:rPr>
        <w:t>Σχήμα 1. Κατανομή εκπαιδευτικών με βάση το προφίλ χρήσης ΤΠΕ</w:t>
      </w:r>
    </w:p>
    <w:p w14:paraId="3806AA9E" w14:textId="25377064" w:rsidR="0062514F" w:rsidRPr="00EF5FBE" w:rsidRDefault="0062514F" w:rsidP="0062514F">
      <w:pPr>
        <w:spacing w:before="240" w:after="120"/>
        <w:jc w:val="both"/>
        <w:rPr>
          <w:rFonts w:ascii="Cambria" w:hAnsi="Cambria"/>
          <w:b/>
        </w:rPr>
      </w:pPr>
      <w:r>
        <w:rPr>
          <w:rFonts w:ascii="Cambria" w:hAnsi="Cambria"/>
          <w:b/>
        </w:rPr>
        <w:t>Συμπεράσματα</w:t>
      </w:r>
    </w:p>
    <w:p w14:paraId="1C244FA1" w14:textId="2EBCF512" w:rsidR="00AB6826" w:rsidRPr="00162751" w:rsidRDefault="00AB6826" w:rsidP="000543CA">
      <w:pPr>
        <w:spacing w:after="120"/>
        <w:jc w:val="both"/>
        <w:rPr>
          <w:rFonts w:ascii="Cambria" w:hAnsi="Cambria"/>
          <w:sz w:val="22"/>
          <w:szCs w:val="22"/>
        </w:rPr>
      </w:pPr>
      <w:r w:rsidRPr="00162751">
        <w:rPr>
          <w:rFonts w:ascii="Cambria" w:hAnsi="Cambria"/>
          <w:sz w:val="22"/>
          <w:szCs w:val="22"/>
        </w:rPr>
        <w:t>Παρουσιάζονται συνοπτικά τα συμπεράσματα της έρευνας.</w:t>
      </w:r>
    </w:p>
    <w:p w14:paraId="490F6881" w14:textId="77777777" w:rsidR="00EF5FBE" w:rsidRPr="00EF5FBE" w:rsidRDefault="00EF5FBE" w:rsidP="000543CA">
      <w:pPr>
        <w:spacing w:before="240" w:after="120"/>
        <w:jc w:val="both"/>
        <w:rPr>
          <w:rFonts w:ascii="Cambria" w:hAnsi="Cambria"/>
          <w:b/>
        </w:rPr>
      </w:pPr>
      <w:r w:rsidRPr="00EF5FBE">
        <w:rPr>
          <w:rFonts w:ascii="Cambria" w:hAnsi="Cambria"/>
          <w:b/>
        </w:rPr>
        <w:t>Αναφορές</w:t>
      </w:r>
    </w:p>
    <w:p w14:paraId="6F28E910" w14:textId="1DDB4154" w:rsidR="00EF5FBE" w:rsidRPr="00617D03" w:rsidRDefault="00EF5FBE" w:rsidP="00275A62">
      <w:pPr>
        <w:spacing w:after="120"/>
        <w:jc w:val="both"/>
        <w:rPr>
          <w:rFonts w:ascii="Cambria" w:hAnsi="Cambria"/>
          <w:sz w:val="22"/>
          <w:szCs w:val="22"/>
        </w:rPr>
      </w:pPr>
      <w:r w:rsidRPr="00162751">
        <w:rPr>
          <w:rFonts w:ascii="Cambria" w:hAnsi="Cambria"/>
          <w:sz w:val="22"/>
          <w:szCs w:val="22"/>
        </w:rPr>
        <w:t>Παρατίθενται</w:t>
      </w:r>
      <w:r w:rsidR="00617D03" w:rsidRPr="00617D03">
        <w:rPr>
          <w:rFonts w:ascii="Cambria" w:hAnsi="Cambria"/>
          <w:sz w:val="22"/>
          <w:szCs w:val="22"/>
        </w:rPr>
        <w:t xml:space="preserve"> </w:t>
      </w:r>
      <w:r w:rsidR="00617D03">
        <w:rPr>
          <w:rFonts w:ascii="Cambria" w:hAnsi="Cambria"/>
          <w:sz w:val="22"/>
          <w:szCs w:val="22"/>
        </w:rPr>
        <w:t xml:space="preserve">μέχρι </w:t>
      </w:r>
      <w:r w:rsidRPr="00162751">
        <w:rPr>
          <w:rFonts w:ascii="Cambria" w:hAnsi="Cambria"/>
          <w:sz w:val="22"/>
          <w:szCs w:val="22"/>
        </w:rPr>
        <w:t>4 σημαντικές αναφορές</w:t>
      </w:r>
      <w:r w:rsidR="006B30ED" w:rsidRPr="00162751">
        <w:rPr>
          <w:rFonts w:ascii="Cambria" w:hAnsi="Cambria"/>
          <w:sz w:val="22"/>
          <w:szCs w:val="22"/>
        </w:rPr>
        <w:t xml:space="preserve"> σύμφωνα με το </w:t>
      </w:r>
      <w:r w:rsidR="006B30ED" w:rsidRPr="00162751">
        <w:rPr>
          <w:rFonts w:ascii="Cambria" w:hAnsi="Cambria"/>
          <w:sz w:val="22"/>
          <w:szCs w:val="22"/>
          <w:lang w:val="en-US"/>
        </w:rPr>
        <w:t>APA</w:t>
      </w:r>
      <w:r w:rsidR="00617D03">
        <w:rPr>
          <w:rFonts w:ascii="Cambria" w:hAnsi="Cambria"/>
          <w:sz w:val="22"/>
          <w:szCs w:val="22"/>
        </w:rPr>
        <w:t xml:space="preserve"> 6</w:t>
      </w:r>
    </w:p>
    <w:p w14:paraId="0F82009A" w14:textId="6086EDC4" w:rsidR="00EF5FBE" w:rsidRPr="00162751" w:rsidRDefault="00225996" w:rsidP="00225996">
      <w:pPr>
        <w:ind w:left="238" w:hanging="238"/>
        <w:jc w:val="both"/>
        <w:rPr>
          <w:rFonts w:ascii="Cambria" w:hAnsi="Cambria"/>
          <w:sz w:val="20"/>
          <w:szCs w:val="20"/>
          <w:lang w:val="en-US"/>
        </w:rPr>
      </w:pPr>
      <w:proofErr w:type="spellStart"/>
      <w:r w:rsidRPr="00162751">
        <w:rPr>
          <w:rFonts w:ascii="Cambria" w:hAnsi="Cambria"/>
          <w:sz w:val="20"/>
          <w:szCs w:val="20"/>
          <w:lang w:val="en-US"/>
        </w:rPr>
        <w:t>Jimoyiannis</w:t>
      </w:r>
      <w:proofErr w:type="spellEnd"/>
      <w:r w:rsidRPr="00162751">
        <w:rPr>
          <w:rFonts w:ascii="Cambria" w:hAnsi="Cambria"/>
          <w:sz w:val="20"/>
          <w:szCs w:val="20"/>
          <w:lang w:val="en-US"/>
        </w:rPr>
        <w:t xml:space="preserve">, A., &amp; Komis, V. (2006b). Examining teachers’ beliefs about ICT in education: implications of a teacher preparation </w:t>
      </w:r>
      <w:proofErr w:type="spellStart"/>
      <w:r w:rsidRPr="00162751">
        <w:rPr>
          <w:rFonts w:ascii="Cambria" w:hAnsi="Cambria"/>
          <w:sz w:val="20"/>
          <w:szCs w:val="20"/>
          <w:lang w:val="en-US"/>
        </w:rPr>
        <w:t>programme</w:t>
      </w:r>
      <w:proofErr w:type="spellEnd"/>
      <w:r w:rsidRPr="00162751">
        <w:rPr>
          <w:rFonts w:ascii="Cambria" w:hAnsi="Cambria"/>
          <w:sz w:val="20"/>
          <w:szCs w:val="20"/>
          <w:lang w:val="en-US"/>
        </w:rPr>
        <w:t xml:space="preserve">. </w:t>
      </w:r>
      <w:r w:rsidRPr="00162751">
        <w:rPr>
          <w:rFonts w:ascii="Cambria" w:hAnsi="Cambria"/>
          <w:i/>
          <w:iCs/>
          <w:sz w:val="20"/>
          <w:szCs w:val="20"/>
          <w:lang w:val="en-US"/>
        </w:rPr>
        <w:t>Teacher Development</w:t>
      </w:r>
      <w:r w:rsidRPr="00162751">
        <w:rPr>
          <w:rFonts w:ascii="Cambria" w:hAnsi="Cambria"/>
          <w:sz w:val="20"/>
          <w:szCs w:val="20"/>
          <w:lang w:val="en-US"/>
        </w:rPr>
        <w:t xml:space="preserve">, </w:t>
      </w:r>
      <w:r w:rsidRPr="00162751">
        <w:rPr>
          <w:rFonts w:ascii="Cambria" w:hAnsi="Cambria"/>
          <w:i/>
          <w:iCs/>
          <w:sz w:val="20"/>
          <w:szCs w:val="20"/>
          <w:lang w:val="en-US"/>
        </w:rPr>
        <w:t>11</w:t>
      </w:r>
      <w:r w:rsidRPr="00162751">
        <w:rPr>
          <w:rFonts w:ascii="Cambria" w:hAnsi="Cambria"/>
          <w:sz w:val="20"/>
          <w:szCs w:val="20"/>
          <w:lang w:val="en-US"/>
        </w:rPr>
        <w:t>(2), 149-173.</w:t>
      </w:r>
    </w:p>
    <w:p w14:paraId="335C5CFC" w14:textId="5A963EB7" w:rsidR="00225996" w:rsidRPr="00162751" w:rsidRDefault="00225996" w:rsidP="00225996">
      <w:pPr>
        <w:ind w:left="238" w:hanging="238"/>
        <w:jc w:val="both"/>
        <w:rPr>
          <w:rFonts w:ascii="Cambria" w:hAnsi="Cambria"/>
          <w:sz w:val="20"/>
          <w:szCs w:val="20"/>
        </w:rPr>
      </w:pPr>
      <w:r w:rsidRPr="00162751">
        <w:rPr>
          <w:rFonts w:ascii="Cambria" w:hAnsi="Cambria"/>
          <w:sz w:val="20"/>
          <w:szCs w:val="20"/>
          <w:lang w:val="en-US"/>
        </w:rPr>
        <w:t xml:space="preserve">Jonassen, D. H. (2003). </w:t>
      </w:r>
      <w:r w:rsidRPr="00162751">
        <w:rPr>
          <w:rFonts w:ascii="Cambria" w:hAnsi="Cambria"/>
          <w:i/>
          <w:iCs/>
          <w:sz w:val="20"/>
          <w:szCs w:val="20"/>
          <w:lang w:val="en-US"/>
        </w:rPr>
        <w:t>Computers as mind tools for schools: engaging critical thinking</w:t>
      </w:r>
      <w:r w:rsidRPr="00162751">
        <w:rPr>
          <w:rFonts w:ascii="Cambria" w:hAnsi="Cambria"/>
          <w:sz w:val="20"/>
          <w:szCs w:val="20"/>
          <w:lang w:val="en-US"/>
        </w:rPr>
        <w:t xml:space="preserve">. </w:t>
      </w:r>
      <w:r w:rsidRPr="00162751">
        <w:rPr>
          <w:rFonts w:ascii="Cambria" w:hAnsi="Cambria"/>
          <w:sz w:val="20"/>
          <w:szCs w:val="20"/>
        </w:rPr>
        <w:t xml:space="preserve">NJ: </w:t>
      </w:r>
      <w:proofErr w:type="spellStart"/>
      <w:r w:rsidRPr="00162751">
        <w:rPr>
          <w:rFonts w:ascii="Cambria" w:hAnsi="Cambria"/>
          <w:sz w:val="20"/>
          <w:szCs w:val="20"/>
        </w:rPr>
        <w:t>Prentice-Hall</w:t>
      </w:r>
      <w:proofErr w:type="spellEnd"/>
      <w:r w:rsidRPr="00162751">
        <w:rPr>
          <w:rFonts w:ascii="Cambria" w:hAnsi="Cambria"/>
          <w:sz w:val="20"/>
          <w:szCs w:val="20"/>
        </w:rPr>
        <w:t>.</w:t>
      </w:r>
    </w:p>
    <w:p w14:paraId="095DDC1B" w14:textId="3FD74FC9" w:rsidR="00FA19A7" w:rsidRPr="00162751" w:rsidRDefault="00225996" w:rsidP="00225996">
      <w:pPr>
        <w:ind w:left="238" w:hanging="238"/>
        <w:jc w:val="both"/>
        <w:rPr>
          <w:rFonts w:ascii="Cambria" w:hAnsi="Cambria"/>
          <w:sz w:val="20"/>
          <w:szCs w:val="20"/>
        </w:rPr>
      </w:pPr>
      <w:proofErr w:type="spellStart"/>
      <w:r w:rsidRPr="00162751">
        <w:rPr>
          <w:rFonts w:ascii="Cambria" w:hAnsi="Cambria"/>
          <w:sz w:val="20"/>
          <w:szCs w:val="20"/>
        </w:rPr>
        <w:t>Γραβάνη</w:t>
      </w:r>
      <w:proofErr w:type="spellEnd"/>
      <w:r w:rsidRPr="00162751">
        <w:rPr>
          <w:rFonts w:ascii="Cambria" w:hAnsi="Cambria"/>
          <w:sz w:val="20"/>
          <w:szCs w:val="20"/>
        </w:rPr>
        <w:t xml:space="preserve">, Μ. (2008). Ο πληροφορικός </w:t>
      </w:r>
      <w:proofErr w:type="spellStart"/>
      <w:r w:rsidRPr="00162751">
        <w:rPr>
          <w:rFonts w:ascii="Cambria" w:hAnsi="Cambria"/>
          <w:sz w:val="20"/>
          <w:szCs w:val="20"/>
        </w:rPr>
        <w:t>γραμματισμός</w:t>
      </w:r>
      <w:proofErr w:type="spellEnd"/>
      <w:r w:rsidRPr="00162751">
        <w:rPr>
          <w:rFonts w:ascii="Cambria" w:hAnsi="Cambria"/>
          <w:sz w:val="20"/>
          <w:szCs w:val="20"/>
        </w:rPr>
        <w:t xml:space="preserve"> στα Σχολεία Δεύτερης Ευκαιρίας: μια μελέτη των απόψεων και των εμπειριών εκπαιδευτών πληροφορικής. Στο Β. Κόμης (</w:t>
      </w:r>
      <w:proofErr w:type="spellStart"/>
      <w:r w:rsidRPr="00162751">
        <w:rPr>
          <w:rFonts w:ascii="Cambria" w:hAnsi="Cambria"/>
          <w:sz w:val="20"/>
          <w:szCs w:val="20"/>
        </w:rPr>
        <w:t>επιμ</w:t>
      </w:r>
      <w:proofErr w:type="spellEnd"/>
      <w:r w:rsidRPr="00162751">
        <w:rPr>
          <w:rFonts w:ascii="Cambria" w:hAnsi="Cambria"/>
          <w:sz w:val="20"/>
          <w:szCs w:val="20"/>
        </w:rPr>
        <w:t xml:space="preserve">.), </w:t>
      </w:r>
      <w:r w:rsidRPr="00162751">
        <w:rPr>
          <w:rFonts w:ascii="Cambria" w:hAnsi="Cambria"/>
          <w:i/>
          <w:iCs/>
          <w:sz w:val="20"/>
          <w:szCs w:val="20"/>
        </w:rPr>
        <w:t>Πρακτικά 4ου Πανελλήνιου Συνεδρίου ‘’Διδακτική της Πληροφορικής’’</w:t>
      </w:r>
      <w:r w:rsidRPr="00162751">
        <w:rPr>
          <w:rFonts w:ascii="Cambria" w:hAnsi="Cambria"/>
          <w:sz w:val="20"/>
          <w:szCs w:val="20"/>
        </w:rPr>
        <w:t xml:space="preserve"> (</w:t>
      </w:r>
      <w:proofErr w:type="spellStart"/>
      <w:r w:rsidRPr="00162751">
        <w:rPr>
          <w:rFonts w:ascii="Cambria" w:hAnsi="Cambria"/>
          <w:sz w:val="20"/>
          <w:szCs w:val="20"/>
        </w:rPr>
        <w:t>σσ</w:t>
      </w:r>
      <w:proofErr w:type="spellEnd"/>
      <w:r w:rsidRPr="00162751">
        <w:rPr>
          <w:rFonts w:ascii="Cambria" w:hAnsi="Cambria"/>
          <w:sz w:val="20"/>
          <w:szCs w:val="20"/>
        </w:rPr>
        <w:t>. 405-414). Πάτρα: Εκδόσεις Νέων Τεχνολογιών.</w:t>
      </w:r>
      <w:bookmarkEnd w:id="3"/>
    </w:p>
    <w:sectPr w:rsidR="00FA19A7" w:rsidRPr="00162751" w:rsidSect="001D4461">
      <w:headerReference w:type="default" r:id="rId8"/>
      <w:footerReference w:type="firs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2BFDC" w14:textId="77777777" w:rsidR="005536C5" w:rsidRDefault="005536C5" w:rsidP="00F8175A">
      <w:r>
        <w:separator/>
      </w:r>
    </w:p>
  </w:endnote>
  <w:endnote w:type="continuationSeparator" w:id="0">
    <w:p w14:paraId="5DC049C8" w14:textId="77777777" w:rsidR="005536C5" w:rsidRDefault="005536C5" w:rsidP="00F81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mbria">
    <w:altName w:val="Cambria"/>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8080C" w14:textId="5CBB20D3" w:rsidR="001D4461" w:rsidRPr="001D4461" w:rsidRDefault="001D4461" w:rsidP="001D4461">
    <w:pPr>
      <w:pStyle w:val="a4"/>
      <w:jc w:val="both"/>
      <w:rPr>
        <w:rFonts w:asciiTheme="majorHAnsi" w:hAnsiTheme="majorHAnsi"/>
        <w:sz w:val="12"/>
        <w:szCs w:val="12"/>
      </w:rPr>
    </w:pPr>
    <w:proofErr w:type="spellStart"/>
    <w:r w:rsidRPr="001D4461">
      <w:rPr>
        <w:rFonts w:asciiTheme="majorHAnsi" w:hAnsiTheme="majorHAnsi"/>
        <w:sz w:val="12"/>
        <w:szCs w:val="12"/>
      </w:rPr>
      <w:t>χχχ</w:t>
    </w:r>
    <w:proofErr w:type="spellEnd"/>
    <w:r w:rsidRPr="001D4461">
      <w:rPr>
        <w:rFonts w:asciiTheme="majorHAnsi" w:hAnsiTheme="majorHAnsi"/>
        <w:sz w:val="12"/>
        <w:szCs w:val="12"/>
      </w:rPr>
      <w:t xml:space="preserve"> (</w:t>
    </w:r>
    <w:proofErr w:type="spellStart"/>
    <w:r w:rsidRPr="001D4461">
      <w:rPr>
        <w:rFonts w:asciiTheme="majorHAnsi" w:hAnsiTheme="majorHAnsi"/>
        <w:sz w:val="12"/>
        <w:szCs w:val="12"/>
      </w:rPr>
      <w:t>επιμ</w:t>
    </w:r>
    <w:proofErr w:type="spellEnd"/>
    <w:r w:rsidRPr="001D4461">
      <w:rPr>
        <w:rFonts w:asciiTheme="majorHAnsi" w:hAnsiTheme="majorHAnsi"/>
        <w:sz w:val="12"/>
        <w:szCs w:val="12"/>
      </w:rPr>
      <w:t xml:space="preserve">.), Πρακτικά Περιλήψεων Εργασιών </w:t>
    </w:r>
    <w:r w:rsidR="00C44623">
      <w:rPr>
        <w:rFonts w:asciiTheme="majorHAnsi" w:hAnsiTheme="majorHAnsi"/>
        <w:sz w:val="12"/>
        <w:szCs w:val="12"/>
      </w:rPr>
      <w:t>5</w:t>
    </w:r>
    <w:r w:rsidRPr="001D4461">
      <w:rPr>
        <w:rFonts w:asciiTheme="majorHAnsi" w:hAnsiTheme="majorHAnsi"/>
        <w:sz w:val="12"/>
        <w:szCs w:val="12"/>
        <w:vertAlign w:val="superscript"/>
      </w:rPr>
      <w:t>ου</w:t>
    </w:r>
    <w:r w:rsidRPr="001D4461">
      <w:rPr>
        <w:rFonts w:asciiTheme="majorHAnsi" w:hAnsiTheme="majorHAnsi"/>
        <w:sz w:val="12"/>
        <w:szCs w:val="12"/>
      </w:rPr>
      <w:t xml:space="preserve"> Πανελλήνιου Συνεδρίου «</w:t>
    </w:r>
    <w:r w:rsidRPr="001D4461">
      <w:rPr>
        <w:rFonts w:asciiTheme="majorHAnsi" w:hAnsiTheme="majorHAnsi" w:cs="Calibri"/>
        <w:bCs/>
        <w:sz w:val="12"/>
        <w:szCs w:val="12"/>
      </w:rPr>
      <w:t>Ηλεκτρονική Μάθηση και Ανοικτοί Εκπαιδευτικοί Πόροι</w:t>
    </w:r>
    <w:r w:rsidRPr="001D4461">
      <w:rPr>
        <w:rFonts w:asciiTheme="majorHAnsi" w:hAnsiTheme="majorHAnsi"/>
        <w:sz w:val="12"/>
        <w:szCs w:val="12"/>
      </w:rPr>
      <w:t xml:space="preserve">», </w:t>
    </w:r>
    <w:proofErr w:type="spellStart"/>
    <w:r w:rsidRPr="001D4461">
      <w:rPr>
        <w:rFonts w:asciiTheme="majorHAnsi" w:hAnsiTheme="majorHAnsi"/>
        <w:sz w:val="12"/>
        <w:szCs w:val="12"/>
      </w:rPr>
      <w:t>σσ</w:t>
    </w:r>
    <w:proofErr w:type="spellEnd"/>
    <w:r w:rsidRPr="001D4461">
      <w:rPr>
        <w:rFonts w:asciiTheme="majorHAnsi" w:hAnsiTheme="majorHAnsi"/>
        <w:sz w:val="12"/>
        <w:szCs w:val="12"/>
      </w:rPr>
      <w:t xml:space="preserve">. χ-ψ, </w:t>
    </w:r>
    <w:r w:rsidR="00B02EFA" w:rsidRPr="001D4461">
      <w:rPr>
        <w:rFonts w:asciiTheme="majorHAnsi" w:hAnsiTheme="majorHAnsi"/>
        <w:sz w:val="12"/>
        <w:szCs w:val="12"/>
      </w:rPr>
      <w:t>Τμήμα Εκπαιδευτικής και Κοινωνικής Πολιτικής, Πανεπιστήμιο Πελοποννήσου</w:t>
    </w:r>
    <w:r w:rsidR="00B02EFA" w:rsidRPr="001D4461">
      <w:rPr>
        <w:rFonts w:asciiTheme="majorHAnsi" w:hAnsiTheme="majorHAnsi"/>
        <w:sz w:val="12"/>
        <w:szCs w:val="12"/>
      </w:rPr>
      <w:t xml:space="preserve"> </w:t>
    </w:r>
    <w:r w:rsidR="00B02EFA">
      <w:rPr>
        <w:rFonts w:asciiTheme="majorHAnsi" w:hAnsiTheme="majorHAnsi"/>
        <w:sz w:val="12"/>
        <w:szCs w:val="12"/>
      </w:rPr>
      <w:t xml:space="preserve">και </w:t>
    </w:r>
    <w:r w:rsidRPr="001D4461">
      <w:rPr>
        <w:rFonts w:asciiTheme="majorHAnsi" w:hAnsiTheme="majorHAnsi"/>
        <w:sz w:val="12"/>
        <w:szCs w:val="12"/>
      </w:rPr>
      <w:t xml:space="preserve">Παιδαγωγικό Τμήμα Δημοτικής </w:t>
    </w:r>
    <w:r w:rsidR="00B23A6D" w:rsidRPr="001D4461">
      <w:rPr>
        <w:rFonts w:asciiTheme="majorHAnsi" w:hAnsiTheme="majorHAnsi"/>
        <w:sz w:val="12"/>
        <w:szCs w:val="12"/>
      </w:rPr>
      <w:t>Εκπαίδευσης</w:t>
    </w:r>
    <w:r w:rsidRPr="001D4461">
      <w:rPr>
        <w:rFonts w:asciiTheme="majorHAnsi" w:hAnsiTheme="majorHAnsi"/>
        <w:sz w:val="12"/>
        <w:szCs w:val="12"/>
      </w:rPr>
      <w:t xml:space="preserve">, Εθνικό και Καποδιστριακό Πανεπιστήμιο Αθηνών, </w:t>
    </w:r>
    <w:r w:rsidR="00B02EFA">
      <w:rPr>
        <w:rFonts w:asciiTheme="majorHAnsi" w:hAnsiTheme="majorHAnsi"/>
        <w:sz w:val="12"/>
        <w:szCs w:val="12"/>
      </w:rPr>
      <w:t>Κόρινθος</w:t>
    </w:r>
    <w:r w:rsidRPr="001D4461">
      <w:rPr>
        <w:rFonts w:asciiTheme="majorHAnsi" w:hAnsiTheme="majorHAnsi"/>
        <w:sz w:val="12"/>
        <w:szCs w:val="12"/>
      </w:rPr>
      <w:t xml:space="preserve">, </w:t>
    </w:r>
    <w:r w:rsidR="00B02EFA">
      <w:rPr>
        <w:rFonts w:asciiTheme="majorHAnsi" w:hAnsiTheme="majorHAnsi"/>
        <w:sz w:val="12"/>
        <w:szCs w:val="12"/>
      </w:rPr>
      <w:t>29</w:t>
    </w:r>
    <w:r w:rsidR="000B1B5E" w:rsidRPr="000B1B5E">
      <w:rPr>
        <w:rFonts w:asciiTheme="majorHAnsi" w:hAnsiTheme="majorHAnsi"/>
        <w:sz w:val="12"/>
        <w:szCs w:val="12"/>
      </w:rPr>
      <w:t>-</w:t>
    </w:r>
    <w:r w:rsidR="00B02EFA">
      <w:rPr>
        <w:rFonts w:asciiTheme="majorHAnsi" w:hAnsiTheme="majorHAnsi"/>
        <w:sz w:val="12"/>
        <w:szCs w:val="12"/>
      </w:rPr>
      <w:t>30</w:t>
    </w:r>
    <w:r w:rsidRPr="001D4461">
      <w:rPr>
        <w:rFonts w:asciiTheme="majorHAnsi" w:hAnsiTheme="majorHAnsi"/>
        <w:sz w:val="12"/>
        <w:szCs w:val="12"/>
      </w:rPr>
      <w:t xml:space="preserve"> Μαρτίου 202</w:t>
    </w:r>
    <w:r w:rsidR="00B02EFA">
      <w:rPr>
        <w:rFonts w:asciiTheme="majorHAnsi" w:hAnsiTheme="majorHAnsi"/>
        <w:sz w:val="12"/>
        <w:szCs w:val="12"/>
      </w:rPr>
      <w:t>5</w:t>
    </w:r>
    <w:r w:rsidRPr="001D4461">
      <w:rPr>
        <w:rFonts w:asciiTheme="majorHAnsi" w:hAnsiTheme="majorHAnsi"/>
        <w:sz w:val="12"/>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A2BB8" w14:textId="77777777" w:rsidR="005536C5" w:rsidRDefault="005536C5" w:rsidP="00F8175A">
      <w:r>
        <w:separator/>
      </w:r>
    </w:p>
  </w:footnote>
  <w:footnote w:type="continuationSeparator" w:id="0">
    <w:p w14:paraId="1EB5FEDE" w14:textId="77777777" w:rsidR="005536C5" w:rsidRDefault="005536C5" w:rsidP="00F81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24E55" w14:textId="43E37EA1" w:rsidR="001D4461" w:rsidRPr="001D4461" w:rsidRDefault="00C44623" w:rsidP="001D4461">
    <w:pPr>
      <w:pStyle w:val="a4"/>
      <w:pBdr>
        <w:bottom w:val="single" w:sz="4" w:space="1" w:color="auto"/>
      </w:pBdr>
      <w:jc w:val="right"/>
      <w:rPr>
        <w:rFonts w:asciiTheme="majorHAnsi" w:hAnsiTheme="majorHAnsi"/>
      </w:rPr>
    </w:pPr>
    <w:r>
      <w:rPr>
        <w:rFonts w:asciiTheme="majorHAnsi" w:hAnsiTheme="majorHAnsi" w:cs="Tahoma"/>
        <w:iCs/>
        <w:sz w:val="16"/>
        <w:szCs w:val="16"/>
      </w:rPr>
      <w:t>5</w:t>
    </w:r>
    <w:r w:rsidR="001D4461" w:rsidRPr="001D4461">
      <w:rPr>
        <w:rFonts w:asciiTheme="majorHAnsi" w:hAnsiTheme="majorHAnsi" w:cs="Calibri"/>
        <w:bCs/>
        <w:sz w:val="16"/>
        <w:szCs w:val="16"/>
        <w:vertAlign w:val="superscript"/>
      </w:rPr>
      <w:t>ο</w:t>
    </w:r>
    <w:r w:rsidR="001D4461" w:rsidRPr="001D4461">
      <w:rPr>
        <w:rFonts w:asciiTheme="majorHAnsi" w:hAnsiTheme="majorHAnsi" w:cs="Calibri"/>
        <w:bCs/>
        <w:sz w:val="16"/>
        <w:szCs w:val="16"/>
      </w:rPr>
      <w:t xml:space="preserve"> Πανελλήνιο Επιστημονικό Συνέδριο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452A8"/>
    <w:multiLevelType w:val="hybridMultilevel"/>
    <w:tmpl w:val="709A4F88"/>
    <w:lvl w:ilvl="0" w:tplc="8800FF0C">
      <w:start w:val="1"/>
      <w:numFmt w:val="bullet"/>
      <w:lvlText w:val=""/>
      <w:lvlJc w:val="left"/>
      <w:pPr>
        <w:tabs>
          <w:tab w:val="num" w:pos="720"/>
        </w:tabs>
        <w:ind w:left="720" w:hanging="360"/>
      </w:pPr>
      <w:rPr>
        <w:rFonts w:ascii="Wingdings" w:hAnsi="Wingdings" w:hint="default"/>
      </w:rPr>
    </w:lvl>
    <w:lvl w:ilvl="1" w:tplc="FB989996">
      <w:numFmt w:val="bullet"/>
      <w:lvlText w:val=""/>
      <w:lvlJc w:val="left"/>
      <w:pPr>
        <w:tabs>
          <w:tab w:val="num" w:pos="1440"/>
        </w:tabs>
        <w:ind w:left="1440" w:hanging="360"/>
      </w:pPr>
      <w:rPr>
        <w:rFonts w:ascii="Wingdings 2" w:hAnsi="Wingdings 2" w:hint="default"/>
      </w:rPr>
    </w:lvl>
    <w:lvl w:ilvl="2" w:tplc="837C97E0">
      <w:start w:val="1"/>
      <w:numFmt w:val="bullet"/>
      <w:lvlText w:val=""/>
      <w:lvlJc w:val="left"/>
      <w:pPr>
        <w:tabs>
          <w:tab w:val="num" w:pos="2160"/>
        </w:tabs>
        <w:ind w:left="2160" w:hanging="360"/>
      </w:pPr>
      <w:rPr>
        <w:rFonts w:ascii="Wingdings" w:hAnsi="Wingdings" w:hint="default"/>
      </w:rPr>
    </w:lvl>
    <w:lvl w:ilvl="3" w:tplc="E154CEFA">
      <w:start w:val="1"/>
      <w:numFmt w:val="bullet"/>
      <w:lvlText w:val=""/>
      <w:lvlJc w:val="left"/>
      <w:pPr>
        <w:tabs>
          <w:tab w:val="num" w:pos="2880"/>
        </w:tabs>
        <w:ind w:left="2880" w:hanging="360"/>
      </w:pPr>
      <w:rPr>
        <w:rFonts w:ascii="Wingdings" w:hAnsi="Wingdings" w:hint="default"/>
      </w:rPr>
    </w:lvl>
    <w:lvl w:ilvl="4" w:tplc="C9823DA8">
      <w:start w:val="1"/>
      <w:numFmt w:val="bullet"/>
      <w:lvlText w:val=""/>
      <w:lvlJc w:val="left"/>
      <w:pPr>
        <w:tabs>
          <w:tab w:val="num" w:pos="3600"/>
        </w:tabs>
        <w:ind w:left="3600" w:hanging="360"/>
      </w:pPr>
      <w:rPr>
        <w:rFonts w:ascii="Wingdings" w:hAnsi="Wingdings" w:hint="default"/>
      </w:rPr>
    </w:lvl>
    <w:lvl w:ilvl="5" w:tplc="E840867C">
      <w:start w:val="1"/>
      <w:numFmt w:val="bullet"/>
      <w:lvlText w:val=""/>
      <w:lvlJc w:val="left"/>
      <w:pPr>
        <w:tabs>
          <w:tab w:val="num" w:pos="4320"/>
        </w:tabs>
        <w:ind w:left="4320" w:hanging="360"/>
      </w:pPr>
      <w:rPr>
        <w:rFonts w:ascii="Wingdings" w:hAnsi="Wingdings" w:hint="default"/>
      </w:rPr>
    </w:lvl>
    <w:lvl w:ilvl="6" w:tplc="A7B8B178">
      <w:start w:val="1"/>
      <w:numFmt w:val="bullet"/>
      <w:lvlText w:val=""/>
      <w:lvlJc w:val="left"/>
      <w:pPr>
        <w:tabs>
          <w:tab w:val="num" w:pos="5040"/>
        </w:tabs>
        <w:ind w:left="5040" w:hanging="360"/>
      </w:pPr>
      <w:rPr>
        <w:rFonts w:ascii="Wingdings" w:hAnsi="Wingdings" w:hint="default"/>
      </w:rPr>
    </w:lvl>
    <w:lvl w:ilvl="7" w:tplc="D0D40BC6">
      <w:start w:val="1"/>
      <w:numFmt w:val="bullet"/>
      <w:lvlText w:val=""/>
      <w:lvlJc w:val="left"/>
      <w:pPr>
        <w:tabs>
          <w:tab w:val="num" w:pos="5760"/>
        </w:tabs>
        <w:ind w:left="5760" w:hanging="360"/>
      </w:pPr>
      <w:rPr>
        <w:rFonts w:ascii="Wingdings" w:hAnsi="Wingdings" w:hint="default"/>
      </w:rPr>
    </w:lvl>
    <w:lvl w:ilvl="8" w:tplc="0D84F422">
      <w:start w:val="1"/>
      <w:numFmt w:val="bullet"/>
      <w:lvlText w:val=""/>
      <w:lvlJc w:val="left"/>
      <w:pPr>
        <w:tabs>
          <w:tab w:val="num" w:pos="6480"/>
        </w:tabs>
        <w:ind w:left="6480" w:hanging="360"/>
      </w:pPr>
      <w:rPr>
        <w:rFonts w:ascii="Wingdings" w:hAnsi="Wingdings" w:hint="default"/>
      </w:rPr>
    </w:lvl>
  </w:abstractNum>
  <w:num w:numId="1" w16cid:durableId="2070497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4C4"/>
    <w:rsid w:val="000543CA"/>
    <w:rsid w:val="0006471C"/>
    <w:rsid w:val="00097643"/>
    <w:rsid w:val="000A1CB3"/>
    <w:rsid w:val="000B1B5E"/>
    <w:rsid w:val="00123F77"/>
    <w:rsid w:val="00147927"/>
    <w:rsid w:val="00162751"/>
    <w:rsid w:val="00172B73"/>
    <w:rsid w:val="001A34C4"/>
    <w:rsid w:val="001D0F92"/>
    <w:rsid w:val="001D4461"/>
    <w:rsid w:val="001F1CD2"/>
    <w:rsid w:val="00225996"/>
    <w:rsid w:val="002440AA"/>
    <w:rsid w:val="00275A62"/>
    <w:rsid w:val="00285192"/>
    <w:rsid w:val="00304FE5"/>
    <w:rsid w:val="00332A25"/>
    <w:rsid w:val="0039187C"/>
    <w:rsid w:val="00395F15"/>
    <w:rsid w:val="003A64CE"/>
    <w:rsid w:val="003D452E"/>
    <w:rsid w:val="003E1FDC"/>
    <w:rsid w:val="003E492C"/>
    <w:rsid w:val="0045759C"/>
    <w:rsid w:val="0046207F"/>
    <w:rsid w:val="004A6939"/>
    <w:rsid w:val="00512763"/>
    <w:rsid w:val="00526480"/>
    <w:rsid w:val="005536C5"/>
    <w:rsid w:val="00563F67"/>
    <w:rsid w:val="005F1F2C"/>
    <w:rsid w:val="00617D03"/>
    <w:rsid w:val="0062514F"/>
    <w:rsid w:val="006B30ED"/>
    <w:rsid w:val="00714CCE"/>
    <w:rsid w:val="00716C96"/>
    <w:rsid w:val="007570EC"/>
    <w:rsid w:val="0076025B"/>
    <w:rsid w:val="008605DD"/>
    <w:rsid w:val="008A2D1E"/>
    <w:rsid w:val="008F2953"/>
    <w:rsid w:val="00917710"/>
    <w:rsid w:val="0094340A"/>
    <w:rsid w:val="009B45D7"/>
    <w:rsid w:val="009C5CA8"/>
    <w:rsid w:val="00AB6826"/>
    <w:rsid w:val="00AE3C53"/>
    <w:rsid w:val="00AF6155"/>
    <w:rsid w:val="00B02EFA"/>
    <w:rsid w:val="00B23A6D"/>
    <w:rsid w:val="00B61247"/>
    <w:rsid w:val="00B741E8"/>
    <w:rsid w:val="00BC7464"/>
    <w:rsid w:val="00C2584D"/>
    <w:rsid w:val="00C44623"/>
    <w:rsid w:val="00D70E20"/>
    <w:rsid w:val="00DA1F31"/>
    <w:rsid w:val="00EF5FBE"/>
    <w:rsid w:val="00F1244A"/>
    <w:rsid w:val="00F70081"/>
    <w:rsid w:val="00F8175A"/>
    <w:rsid w:val="00FA19A7"/>
    <w:rsid w:val="00FD26E3"/>
    <w:rsid w:val="00FD6B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2F067F"/>
  <w15:docId w15:val="{E14367B8-1B59-451D-9263-C1823F48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4C4"/>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395F15"/>
    <w:rPr>
      <w:rFonts w:cs="Times New Roman"/>
      <w:color w:val="auto"/>
      <w:u w:val="single"/>
    </w:rPr>
  </w:style>
  <w:style w:type="paragraph" w:styleId="a3">
    <w:name w:val="Body Text"/>
    <w:basedOn w:val="a"/>
    <w:link w:val="Char"/>
    <w:uiPriority w:val="99"/>
    <w:rsid w:val="00FD26E3"/>
    <w:pPr>
      <w:widowControl w:val="0"/>
      <w:ind w:left="20"/>
    </w:pPr>
    <w:rPr>
      <w:sz w:val="22"/>
      <w:szCs w:val="22"/>
      <w:lang w:val="en-US" w:eastAsia="en-US"/>
    </w:rPr>
  </w:style>
  <w:style w:type="character" w:customStyle="1" w:styleId="Char">
    <w:name w:val="Σώμα κειμένου Char"/>
    <w:basedOn w:val="a0"/>
    <w:link w:val="a3"/>
    <w:uiPriority w:val="99"/>
    <w:locked/>
    <w:rsid w:val="00FD26E3"/>
    <w:rPr>
      <w:rFonts w:ascii="Times New Roman" w:hAnsi="Times New Roman" w:cs="Times New Roman"/>
      <w:lang w:val="en-US"/>
    </w:rPr>
  </w:style>
  <w:style w:type="paragraph" w:styleId="a4">
    <w:name w:val="header"/>
    <w:basedOn w:val="a"/>
    <w:link w:val="Char0"/>
    <w:unhideWhenUsed/>
    <w:rsid w:val="00F8175A"/>
    <w:pPr>
      <w:tabs>
        <w:tab w:val="center" w:pos="4680"/>
        <w:tab w:val="right" w:pos="9360"/>
      </w:tabs>
    </w:pPr>
  </w:style>
  <w:style w:type="character" w:customStyle="1" w:styleId="Char0">
    <w:name w:val="Κεφαλίδα Char"/>
    <w:basedOn w:val="a0"/>
    <w:link w:val="a4"/>
    <w:rsid w:val="00F8175A"/>
    <w:rPr>
      <w:rFonts w:ascii="Times New Roman" w:eastAsia="Times New Roman" w:hAnsi="Times New Roman"/>
      <w:sz w:val="24"/>
      <w:szCs w:val="24"/>
    </w:rPr>
  </w:style>
  <w:style w:type="paragraph" w:styleId="a5">
    <w:name w:val="footer"/>
    <w:basedOn w:val="a"/>
    <w:link w:val="Char1"/>
    <w:uiPriority w:val="99"/>
    <w:unhideWhenUsed/>
    <w:rsid w:val="00F8175A"/>
    <w:pPr>
      <w:tabs>
        <w:tab w:val="center" w:pos="4680"/>
        <w:tab w:val="right" w:pos="9360"/>
      </w:tabs>
    </w:pPr>
  </w:style>
  <w:style w:type="character" w:customStyle="1" w:styleId="Char1">
    <w:name w:val="Υποσέλιδο Char"/>
    <w:basedOn w:val="a0"/>
    <w:link w:val="a5"/>
    <w:uiPriority w:val="99"/>
    <w:rsid w:val="00F8175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934408">
      <w:marLeft w:val="0"/>
      <w:marRight w:val="0"/>
      <w:marTop w:val="0"/>
      <w:marBottom w:val="0"/>
      <w:divBdr>
        <w:top w:val="none" w:sz="0" w:space="0" w:color="auto"/>
        <w:left w:val="none" w:sz="0" w:space="0" w:color="auto"/>
        <w:bottom w:val="none" w:sz="0" w:space="0" w:color="auto"/>
        <w:right w:val="none" w:sz="0" w:space="0" w:color="auto"/>
      </w:divBdr>
      <w:divsChild>
        <w:div w:id="1415934409">
          <w:marLeft w:val="1008"/>
          <w:marRight w:val="0"/>
          <w:marTop w:val="110"/>
          <w:marBottom w:val="0"/>
          <w:divBdr>
            <w:top w:val="none" w:sz="0" w:space="0" w:color="auto"/>
            <w:left w:val="none" w:sz="0" w:space="0" w:color="auto"/>
            <w:bottom w:val="none" w:sz="0" w:space="0" w:color="auto"/>
            <w:right w:val="none" w:sz="0" w:space="0" w:color="auto"/>
          </w:divBdr>
        </w:div>
        <w:div w:id="1415934410">
          <w:marLeft w:val="504"/>
          <w:marRight w:val="0"/>
          <w:marTop w:val="140"/>
          <w:marBottom w:val="0"/>
          <w:divBdr>
            <w:top w:val="none" w:sz="0" w:space="0" w:color="auto"/>
            <w:left w:val="none" w:sz="0" w:space="0" w:color="auto"/>
            <w:bottom w:val="none" w:sz="0" w:space="0" w:color="auto"/>
            <w:right w:val="none" w:sz="0" w:space="0" w:color="auto"/>
          </w:divBdr>
        </w:div>
        <w:div w:id="1415934411">
          <w:marLeft w:val="504"/>
          <w:marRight w:val="0"/>
          <w:marTop w:val="140"/>
          <w:marBottom w:val="0"/>
          <w:divBdr>
            <w:top w:val="none" w:sz="0" w:space="0" w:color="auto"/>
            <w:left w:val="none" w:sz="0" w:space="0" w:color="auto"/>
            <w:bottom w:val="none" w:sz="0" w:space="0" w:color="auto"/>
            <w:right w:val="none" w:sz="0" w:space="0" w:color="auto"/>
          </w:divBdr>
        </w:div>
        <w:div w:id="1415934412">
          <w:marLeft w:val="1008"/>
          <w:marRight w:val="0"/>
          <w:marTop w:val="110"/>
          <w:marBottom w:val="0"/>
          <w:divBdr>
            <w:top w:val="none" w:sz="0" w:space="0" w:color="auto"/>
            <w:left w:val="none" w:sz="0" w:space="0" w:color="auto"/>
            <w:bottom w:val="none" w:sz="0" w:space="0" w:color="auto"/>
            <w:right w:val="none" w:sz="0" w:space="0" w:color="auto"/>
          </w:divBdr>
        </w:div>
        <w:div w:id="1415934413">
          <w:marLeft w:val="504"/>
          <w:marRight w:val="0"/>
          <w:marTop w:val="140"/>
          <w:marBottom w:val="0"/>
          <w:divBdr>
            <w:top w:val="none" w:sz="0" w:space="0" w:color="auto"/>
            <w:left w:val="none" w:sz="0" w:space="0" w:color="auto"/>
            <w:bottom w:val="none" w:sz="0" w:space="0" w:color="auto"/>
            <w:right w:val="none" w:sz="0" w:space="0" w:color="auto"/>
          </w:divBdr>
        </w:div>
        <w:div w:id="1415934414">
          <w:marLeft w:val="1008"/>
          <w:marRight w:val="0"/>
          <w:marTop w:val="110"/>
          <w:marBottom w:val="0"/>
          <w:divBdr>
            <w:top w:val="none" w:sz="0" w:space="0" w:color="auto"/>
            <w:left w:val="none" w:sz="0" w:space="0" w:color="auto"/>
            <w:bottom w:val="none" w:sz="0" w:space="0" w:color="auto"/>
            <w:right w:val="none" w:sz="0" w:space="0" w:color="auto"/>
          </w:divBdr>
        </w:div>
        <w:div w:id="1415934415">
          <w:marLeft w:val="1008"/>
          <w:marRight w:val="0"/>
          <w:marTop w:val="1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4380165289256223"/>
          <c:y val="3.7974683544303806E-2"/>
          <c:w val="0.62396694214876069"/>
          <c:h val="0.77215189873417855"/>
        </c:manualLayout>
      </c:layout>
      <c:barChart>
        <c:barDir val="bar"/>
        <c:grouping val="clustered"/>
        <c:varyColors val="0"/>
        <c:ser>
          <c:idx val="0"/>
          <c:order val="0"/>
          <c:tx>
            <c:strRef>
              <c:f>ICTProfile!$A$4</c:f>
              <c:strCache>
                <c:ptCount val="1"/>
                <c:pt idx="0">
                  <c:v>Man</c:v>
                </c:pt>
              </c:strCache>
            </c:strRef>
          </c:tx>
          <c:spPr>
            <a:solidFill>
              <a:srgbClr val="CCFFFF"/>
            </a:solidFill>
            <a:ln w="12700">
              <a:solidFill>
                <a:srgbClr val="000000"/>
              </a:solidFill>
              <a:prstDash val="solid"/>
            </a:ln>
          </c:spPr>
          <c:invertIfNegative val="0"/>
          <c:dLbls>
            <c:numFmt formatCode="#.#00" sourceLinked="0"/>
            <c:spPr>
              <a:noFill/>
              <a:ln w="25400">
                <a:noFill/>
              </a:ln>
            </c:spPr>
            <c:txPr>
              <a:bodyPr/>
              <a:lstStyle/>
              <a:p>
                <a:pPr>
                  <a:defRPr sz="500" b="0" i="0" u="none" strike="noStrike" baseline="0">
                    <a:solidFill>
                      <a:srgbClr val="000000"/>
                    </a:solidFill>
                    <a:latin typeface="Arial Greek"/>
                    <a:ea typeface="Arial Greek"/>
                    <a:cs typeface="Arial Greek"/>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ICTProfile!$B$3:$G$3</c:f>
              <c:strCache>
                <c:ptCount val="6"/>
                <c:pt idx="0">
                  <c:v>Use ICT as a learning tool</c:v>
                </c:pt>
                <c:pt idx="1">
                  <c:v>Use ICT to support traditional instruction</c:v>
                </c:pt>
                <c:pt idx="2">
                  <c:v>Use ICT frequently for personal purposes</c:v>
                </c:pt>
                <c:pt idx="3">
                  <c:v>Have their own e-mail account</c:v>
                </c:pt>
                <c:pt idx="4">
                  <c:v>Have an Internet connection at home</c:v>
                </c:pt>
                <c:pt idx="5">
                  <c:v>Have a PC at home</c:v>
                </c:pt>
              </c:strCache>
            </c:strRef>
          </c:cat>
          <c:val>
            <c:numRef>
              <c:f>ICTProfile!$B$4:$G$4</c:f>
              <c:numCache>
                <c:formatCode>\Γ\ε\ν\ι\κ\ό\ς\ \τ\ύ\π\ο\ς</c:formatCode>
                <c:ptCount val="6"/>
                <c:pt idx="0">
                  <c:v>2.59</c:v>
                </c:pt>
                <c:pt idx="1">
                  <c:v>14.44</c:v>
                </c:pt>
                <c:pt idx="2">
                  <c:v>30.37</c:v>
                </c:pt>
                <c:pt idx="3">
                  <c:v>29.63000000000002</c:v>
                </c:pt>
                <c:pt idx="4">
                  <c:v>34.630000000000003</c:v>
                </c:pt>
                <c:pt idx="5">
                  <c:v>60.37</c:v>
                </c:pt>
              </c:numCache>
            </c:numRef>
          </c:val>
          <c:extLst>
            <c:ext xmlns:c16="http://schemas.microsoft.com/office/drawing/2014/chart" uri="{C3380CC4-5D6E-409C-BE32-E72D297353CC}">
              <c16:uniqueId val="{00000000-5DE4-47D4-B368-A82582279CBE}"/>
            </c:ext>
          </c:extLst>
        </c:ser>
        <c:ser>
          <c:idx val="1"/>
          <c:order val="1"/>
          <c:tx>
            <c:strRef>
              <c:f>ICTProfile!$A$5</c:f>
              <c:strCache>
                <c:ptCount val="1"/>
                <c:pt idx="0">
                  <c:v>Woman</c:v>
                </c:pt>
              </c:strCache>
            </c:strRef>
          </c:tx>
          <c:spPr>
            <a:solidFill>
              <a:srgbClr val="993366"/>
            </a:solidFill>
            <a:ln w="12700">
              <a:solidFill>
                <a:srgbClr val="000000"/>
              </a:solidFill>
              <a:prstDash val="solid"/>
            </a:ln>
          </c:spPr>
          <c:invertIfNegative val="0"/>
          <c:dLbls>
            <c:numFmt formatCode="#.#00" sourceLinked="0"/>
            <c:spPr>
              <a:noFill/>
              <a:ln w="25400">
                <a:noFill/>
              </a:ln>
            </c:spPr>
            <c:txPr>
              <a:bodyPr/>
              <a:lstStyle/>
              <a:p>
                <a:pPr>
                  <a:defRPr sz="500" b="0" i="0" u="none" strike="noStrike" baseline="0">
                    <a:solidFill>
                      <a:srgbClr val="000000"/>
                    </a:solidFill>
                    <a:latin typeface="Arial Greek"/>
                    <a:ea typeface="Arial Greek"/>
                    <a:cs typeface="Arial Greek"/>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ICTProfile!$B$3:$G$3</c:f>
              <c:strCache>
                <c:ptCount val="6"/>
                <c:pt idx="0">
                  <c:v>Use ICT as a learning tool</c:v>
                </c:pt>
                <c:pt idx="1">
                  <c:v>Use ICT to support traditional instruction</c:v>
                </c:pt>
                <c:pt idx="2">
                  <c:v>Use ICT frequently for personal purposes</c:v>
                </c:pt>
                <c:pt idx="3">
                  <c:v>Have their own e-mail account</c:v>
                </c:pt>
                <c:pt idx="4">
                  <c:v>Have an Internet connection at home</c:v>
                </c:pt>
                <c:pt idx="5">
                  <c:v>Have a PC at home</c:v>
                </c:pt>
              </c:strCache>
            </c:strRef>
          </c:cat>
          <c:val>
            <c:numRef>
              <c:f>ICTProfile!$B$5:$G$5</c:f>
              <c:numCache>
                <c:formatCode>\Γ\ε\ν\ι\κ\ό\ς\ \τ\ύ\π\ο\ς</c:formatCode>
                <c:ptCount val="6"/>
                <c:pt idx="0">
                  <c:v>0.96000000000000063</c:v>
                </c:pt>
                <c:pt idx="1">
                  <c:v>8.32</c:v>
                </c:pt>
                <c:pt idx="2">
                  <c:v>16.64</c:v>
                </c:pt>
                <c:pt idx="3">
                  <c:v>20.16</c:v>
                </c:pt>
                <c:pt idx="4">
                  <c:v>30.4</c:v>
                </c:pt>
                <c:pt idx="5">
                  <c:v>57.44</c:v>
                </c:pt>
              </c:numCache>
            </c:numRef>
          </c:val>
          <c:extLst>
            <c:ext xmlns:c16="http://schemas.microsoft.com/office/drawing/2014/chart" uri="{C3380CC4-5D6E-409C-BE32-E72D297353CC}">
              <c16:uniqueId val="{00000001-5DE4-47D4-B368-A82582279CBE}"/>
            </c:ext>
          </c:extLst>
        </c:ser>
        <c:dLbls>
          <c:showLegendKey val="0"/>
          <c:showVal val="0"/>
          <c:showCatName val="0"/>
          <c:showSerName val="0"/>
          <c:showPercent val="0"/>
          <c:showBubbleSize val="0"/>
        </c:dLbls>
        <c:gapWidth val="150"/>
        <c:axId val="-505899600"/>
        <c:axId val="-505912656"/>
      </c:barChart>
      <c:catAx>
        <c:axId val="-505899600"/>
        <c:scaling>
          <c:orientation val="minMax"/>
        </c:scaling>
        <c:delete val="0"/>
        <c:axPos val="l"/>
        <c:numFmt formatCode="General" sourceLinked="1"/>
        <c:majorTickMark val="none"/>
        <c:minorTickMark val="none"/>
        <c:tickLblPos val="nextTo"/>
        <c:spPr>
          <a:ln w="3175">
            <a:solidFill>
              <a:srgbClr val="000000"/>
            </a:solidFill>
            <a:prstDash val="solid"/>
          </a:ln>
        </c:spPr>
        <c:txPr>
          <a:bodyPr rot="0" vert="horz"/>
          <a:lstStyle/>
          <a:p>
            <a:pPr>
              <a:defRPr sz="500" b="0" i="0" u="none" strike="noStrike" baseline="0">
                <a:solidFill>
                  <a:srgbClr val="000000"/>
                </a:solidFill>
                <a:latin typeface="Arial Greek"/>
                <a:ea typeface="Arial Greek"/>
                <a:cs typeface="Arial Greek"/>
              </a:defRPr>
            </a:pPr>
            <a:endParaRPr lang="el-GR"/>
          </a:p>
        </c:txPr>
        <c:crossAx val="-505912656"/>
        <c:crosses val="autoZero"/>
        <c:auto val="1"/>
        <c:lblAlgn val="ctr"/>
        <c:lblOffset val="100"/>
        <c:tickLblSkip val="1"/>
        <c:tickMarkSkip val="1"/>
        <c:noMultiLvlLbl val="0"/>
      </c:catAx>
      <c:valAx>
        <c:axId val="-505912656"/>
        <c:scaling>
          <c:orientation val="minMax"/>
        </c:scaling>
        <c:delete val="0"/>
        <c:axPos val="b"/>
        <c:title>
          <c:tx>
            <c:rich>
              <a:bodyPr/>
              <a:lstStyle/>
              <a:p>
                <a:pPr>
                  <a:defRPr sz="800" b="1" i="0" u="none" strike="noStrike" baseline="0">
                    <a:solidFill>
                      <a:srgbClr val="000000"/>
                    </a:solidFill>
                    <a:latin typeface="Arial Greek"/>
                    <a:ea typeface="Arial Greek"/>
                    <a:cs typeface="Arial Greek"/>
                  </a:defRPr>
                </a:pPr>
                <a:r>
                  <a:rPr lang="en-US"/>
                  <a:t>Percentage (%)</a:t>
                </a:r>
              </a:p>
            </c:rich>
          </c:tx>
          <c:layout>
            <c:manualLayout>
              <c:xMode val="edge"/>
              <c:yMode val="edge"/>
              <c:x val="0.45247933884297531"/>
              <c:y val="0.88924050632911489"/>
            </c:manualLayout>
          </c:layout>
          <c:overlay val="0"/>
          <c:spPr>
            <a:noFill/>
            <a:ln w="25400">
              <a:noFill/>
            </a:ln>
          </c:spPr>
        </c:title>
        <c:numFmt formatCode="\Γ\ε\ν\ι\κ\ό\ς\ \τ\ύ\π\ο\ς" sourceLinked="1"/>
        <c:majorTickMark val="out"/>
        <c:minorTickMark val="none"/>
        <c:tickLblPos val="nextTo"/>
        <c:spPr>
          <a:ln w="3175">
            <a:solidFill>
              <a:srgbClr val="000000"/>
            </a:solidFill>
            <a:prstDash val="solid"/>
          </a:ln>
        </c:spPr>
        <c:txPr>
          <a:bodyPr rot="0" vert="horz"/>
          <a:lstStyle/>
          <a:p>
            <a:pPr>
              <a:defRPr sz="575" b="0" i="0" u="none" strike="noStrike" baseline="0">
                <a:solidFill>
                  <a:srgbClr val="000000"/>
                </a:solidFill>
                <a:latin typeface="Arial Greek"/>
                <a:ea typeface="Arial Greek"/>
                <a:cs typeface="Arial Greek"/>
              </a:defRPr>
            </a:pPr>
            <a:endParaRPr lang="el-GR"/>
          </a:p>
        </c:txPr>
        <c:crossAx val="-505899600"/>
        <c:crosses val="autoZero"/>
        <c:crossBetween val="between"/>
      </c:valAx>
      <c:spPr>
        <a:solidFill>
          <a:srgbClr val="FFFFFF"/>
        </a:solidFill>
        <a:ln w="12700">
          <a:solidFill>
            <a:srgbClr val="808080"/>
          </a:solidFill>
          <a:prstDash val="solid"/>
        </a:ln>
      </c:spPr>
    </c:plotArea>
    <c:legend>
      <c:legendPos val="r"/>
      <c:layout>
        <c:manualLayout>
          <c:xMode val="edge"/>
          <c:yMode val="edge"/>
          <c:x val="0.90909090909090917"/>
          <c:y val="0.379746835443038"/>
          <c:w val="8.2644628099173709E-2"/>
          <c:h val="8.5443037974683514E-2"/>
        </c:manualLayout>
      </c:layout>
      <c:overlay val="0"/>
      <c:spPr>
        <a:solidFill>
          <a:srgbClr val="FFFFFF"/>
        </a:solidFill>
        <a:ln w="3175">
          <a:solidFill>
            <a:srgbClr val="000000"/>
          </a:solidFill>
          <a:prstDash val="solid"/>
        </a:ln>
      </c:spPr>
      <c:txPr>
        <a:bodyPr/>
        <a:lstStyle/>
        <a:p>
          <a:pPr>
            <a:defRPr sz="460" b="0" i="0" u="none" strike="noStrike" baseline="0">
              <a:solidFill>
                <a:srgbClr val="000000"/>
              </a:solidFill>
              <a:latin typeface="Arial Greek"/>
              <a:ea typeface="Arial Greek"/>
              <a:cs typeface="Arial Greek"/>
            </a:defRPr>
          </a:pPr>
          <a:endParaRPr lang="el-GR"/>
        </a:p>
      </c:txPr>
    </c:legend>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Greek"/>
          <a:ea typeface="Arial Greek"/>
          <a:cs typeface="Arial Greek"/>
        </a:defRPr>
      </a:pPr>
      <a:endParaRPr lang="el-G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526</Words>
  <Characters>3496</Characters>
  <DocSecurity>0</DocSecurity>
  <Lines>78</Lines>
  <Paragraphs>43</Paragraphs>
  <ScaleCrop>false</ScaleCrop>
  <HeadingPairs>
    <vt:vector size="2" baseType="variant">
      <vt:variant>
        <vt:lpstr>Τίτλος</vt:lpstr>
      </vt:variant>
      <vt:variant>
        <vt:i4>1</vt:i4>
      </vt:variant>
    </vt:vector>
  </HeadingPairs>
  <TitlesOfParts>
    <vt:vector size="1" baseType="lpstr">
      <vt:lpstr/>
    </vt:vector>
  </TitlesOfParts>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2022-10-05T11:45:00Z</dcterms:created>
  <dcterms:modified xsi:type="dcterms:W3CDTF">2024-11-20T11:11:00Z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ad85897c794e69f501d441021272ef4b1aeee7f9f2d4ec346a03169bc4bd69ce</vt:lpwstr>
  </property>
</Properties>
</file>